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7928" w14:textId="77777777" w:rsidR="001600D6" w:rsidRDefault="00170B57">
      <w:pPr>
        <w:rPr>
          <w:b/>
          <w:bCs/>
          <w:lang w:val="en-US"/>
        </w:rPr>
      </w:pPr>
      <w:r>
        <w:rPr>
          <w:b/>
          <w:bCs/>
          <w:lang w:val="en-US"/>
        </w:rPr>
        <w:t>Georgia’s Democratic Reversal: The Danger of an Unquestioned Consensus</w:t>
      </w:r>
    </w:p>
    <w:p w14:paraId="54E17929" w14:textId="77777777" w:rsidR="001600D6" w:rsidRDefault="001600D6">
      <w:pPr>
        <w:rPr>
          <w:b/>
          <w:bCs/>
          <w:lang w:val="en-US"/>
        </w:rPr>
      </w:pPr>
    </w:p>
    <w:p w14:paraId="54E1792A" w14:textId="77777777" w:rsidR="001600D6" w:rsidRDefault="00170B57">
      <w:pPr>
        <w:rPr>
          <w:i/>
          <w:iCs/>
        </w:rPr>
      </w:pPr>
      <w:r>
        <w:rPr>
          <w:i/>
          <w:iCs/>
        </w:rPr>
        <w:t>Georgia’s democratic backslide has shocked observers at home and abroad. Once a “beacon of democracy” and a frontrunner of European integration, the country has lost its standing within the European democratic family in a remarkably short time. While this shift may appear sudden, it reflects deeper vulnerabilities—lessons that matter not only for Georgia but also for other small states navigating similar geopolitical crossroads.</w:t>
      </w:r>
    </w:p>
    <w:p w14:paraId="54E1792B" w14:textId="77777777" w:rsidR="001600D6" w:rsidRDefault="001600D6">
      <w:pPr>
        <w:rPr>
          <w:i/>
          <w:iCs/>
        </w:rPr>
      </w:pPr>
    </w:p>
    <w:p w14:paraId="54E1792C" w14:textId="77777777" w:rsidR="001600D6" w:rsidRDefault="00170B57">
      <w:r>
        <w:rPr>
          <w:b/>
          <w:bCs/>
          <w:lang w:val="en-US"/>
        </w:rPr>
        <w:t>BACKGROUND:</w:t>
      </w:r>
      <w:r>
        <w:rPr>
          <w:lang w:val="en-US"/>
        </w:rPr>
        <w:t xml:space="preserve"> </w:t>
      </w:r>
      <w:r>
        <w:t xml:space="preserve">The rapid erosion of Georgia’s democratic and pro-Western trajectory </w:t>
      </w:r>
      <w:r>
        <w:rPr>
          <w:lang w:val="en-US"/>
        </w:rPr>
        <w:t>cannot be explained by a single decision, policy, or political figure. Rather, it is the result of a complex combination of factors. At the most general level, it reflects the success of a long-term Russian hybrid and cognitive operation against Georgian society, an operation that ultimately proved much more effective than the 2008 military invasion.</w:t>
      </w:r>
    </w:p>
    <w:p w14:paraId="54E1792D" w14:textId="77777777" w:rsidR="001600D6" w:rsidRDefault="00170B57">
      <w:pPr>
        <w:rPr>
          <w:lang w:val="en-US"/>
        </w:rPr>
      </w:pPr>
      <w:r>
        <w:rPr>
          <w:lang w:val="en-US"/>
        </w:rPr>
        <w:t>As a result of the August 2008 Russo-Georgian war, Russia occupied only 20 per cent of Georgia’s territory. In the decade that followed, however, Moscow achieved something far more consequential. Through sustained political influence, economic leverage, disinformation, and elite capture, it gradually penetrated Georgia’s state institutions. Government, parliament, the presidential administration, courts, security services, police, armed forces, and the foreign service all became vulnerable to influence. Most importantly, Russia succeeded in distracting the country from its European integration trajectory and sowing mistrust toward democratic reforms and Western aspirations. Strategically, this amounted to the cognitive occupation of the entire state.</w:t>
      </w:r>
    </w:p>
    <w:p w14:paraId="54E1792E" w14:textId="77777777" w:rsidR="001600D6" w:rsidRDefault="00170B57">
      <w:pPr>
        <w:rPr>
          <w:lang w:val="en-US"/>
        </w:rPr>
      </w:pPr>
      <w:r>
        <w:rPr>
          <w:lang w:val="en-US"/>
        </w:rPr>
        <w:t>Blaming this reversal solely on Russian hybrid attacks, the pro-Russian stance of the ruling Georgian Dream government, or the role of the de facto ruler, billionaire Bidzina Ivanishvili, would be too simple. The reality is more complex. Among the many political, social, and institutional factors that shaped Georgia’s vulnerability, one has remained largely unrecognized, rarely discussed, and almost entirely absent from public debate.</w:t>
      </w:r>
    </w:p>
    <w:p w14:paraId="54E1792F" w14:textId="77777777" w:rsidR="001600D6" w:rsidRDefault="00170B57">
      <w:pPr>
        <w:rPr>
          <w:lang w:val="en-US"/>
        </w:rPr>
      </w:pPr>
      <w:r>
        <w:rPr>
          <w:lang w:val="en-US"/>
        </w:rPr>
        <w:t>In the late 1980s, as the collapse of the Soviet Union became inevitable, Georgian society engaged in intense debates about the future of the independent state. Constitutional arrangements, models of governance, economic systems, currency, and even sporting affiliations were openly discussed. One issue, however, was never truly debated: the foreign policy orientation of independent Georgia.</w:t>
      </w:r>
    </w:p>
    <w:p w14:paraId="54E17930" w14:textId="77777777" w:rsidR="001600D6" w:rsidRDefault="00170B57">
      <w:pPr>
        <w:rPr>
          <w:lang w:val="en-US"/>
        </w:rPr>
      </w:pPr>
      <w:r>
        <w:rPr>
          <w:lang w:val="en-US"/>
        </w:rPr>
        <w:t>On this question, there appeared to be complete consensus. Becoming part of the West was treated as self-evident—almost sacred. It was widely perceived as the fulfilment of centuries-long aspirations to align Georgia with Europe. No alternatives were discussed, not because they were examined and rejected, but because few dared to articulate them. In a diverse, multi-ethnic society that had lived under Russian rule for more than two centuries, it is unlikely that such alternatives were entirely absent. Yet for the next three decades, this unchallenged consensus shaped both Georgia’s foreign and domestic policy.</w:t>
      </w:r>
    </w:p>
    <w:p w14:paraId="54E17931" w14:textId="77777777" w:rsidR="001600D6" w:rsidRDefault="00170B57">
      <w:r>
        <w:rPr>
          <w:b/>
          <w:bCs/>
          <w:lang w:val="en-US"/>
        </w:rPr>
        <w:t>IMPLICATIONS:</w:t>
      </w:r>
      <w:r>
        <w:rPr>
          <w:lang w:val="en-US"/>
        </w:rPr>
        <w:t xml:space="preserve"> From today’s perspective, this unquestioned consensus appears to have been a missed opportunity for deeper and informed societal consolidation. This observation should not be misunderstood as questioning Georgia’s European choice. The author firmly believes that the European path was and remains the right choice for Georgia. Yet accepting this choice without deep public reasoning, open discussion, or even heated debate left society ill-prepared to fully understand and defend it.</w:t>
      </w:r>
    </w:p>
    <w:p w14:paraId="54E17932" w14:textId="77777777" w:rsidR="001600D6" w:rsidRDefault="00170B57">
      <w:pPr>
        <w:rPr>
          <w:lang w:val="en-US"/>
        </w:rPr>
      </w:pPr>
      <w:r>
        <w:rPr>
          <w:lang w:val="en-US"/>
        </w:rPr>
        <w:lastRenderedPageBreak/>
        <w:t>Georgian society is often characterized by emotional radicalism, reinforced by a lack of democratic traditions. This leaves limited space for critical reflection. As a result, key aspects of EU and NATO integration were rarely discussed in a fact-based and accessible way. Public support, therefore, remained largely emotional rather than knowledge-based.</w:t>
      </w:r>
    </w:p>
    <w:p w14:paraId="54E17933" w14:textId="77777777" w:rsidR="001600D6" w:rsidRDefault="00170B57">
      <w:r>
        <w:t xml:space="preserve">This gap became visible whenever misinformation spread. Claims that EU regulations would ban or severely restrict traditional agricultural products, force the uprooting of vineyards—widely perceived as an attack on Georgia’s cultural heritage—or exclude most of local goods from European markets due to strict quality standards repeatedly triggered public outrage. </w:t>
      </w:r>
      <w:r>
        <w:rPr>
          <w:lang w:val="en-US"/>
        </w:rPr>
        <w:t>Such narratives exposed how shallow public understanding often was, despite consistently high levels of declared support for European integration.</w:t>
      </w:r>
    </w:p>
    <w:p w14:paraId="54E17934" w14:textId="77777777" w:rsidR="001600D6" w:rsidRDefault="00170B57">
      <w:pPr>
        <w:rPr>
          <w:lang w:val="en-US"/>
        </w:rPr>
      </w:pPr>
      <w:r>
        <w:rPr>
          <w:lang w:val="en-US"/>
        </w:rPr>
        <w:t xml:space="preserve">Insufficient effort was made to explain to citizens that compromise is inherent in joining any international </w:t>
      </w:r>
      <w:proofErr w:type="spellStart"/>
      <w:r>
        <w:rPr>
          <w:lang w:val="en-US"/>
        </w:rPr>
        <w:t>organisation</w:t>
      </w:r>
      <w:proofErr w:type="spellEnd"/>
      <w:r>
        <w:rPr>
          <w:lang w:val="en-US"/>
        </w:rPr>
        <w:t>. Government officials and even NGOs promoting the EU and NATO integration often avoided discussing trade-offs and long-term costs. Citizens were rarely told that today’s difficulties are frequently the price of tomorrow’s benefits—choices that can only be made consciously by an informed society.</w:t>
      </w:r>
    </w:p>
    <w:p w14:paraId="54E17935" w14:textId="77777777" w:rsidR="001600D6" w:rsidRDefault="00170B57">
      <w:pPr>
        <w:rPr>
          <w:lang w:val="en-US"/>
        </w:rPr>
      </w:pPr>
      <w:r>
        <w:rPr>
          <w:lang w:val="en-US"/>
        </w:rPr>
        <w:t>Following the adoption of the Deep and Comprehensive Free Trade Area (DCFTA), the state should have launched a large-scale educational effort to demonstrate how this instrument could be applied in practice, particularly for small entrepreneurs and rural communities. While some initiatives were undertaken, largely with donor support, they were insufficient. For many citizens, European integration remained an abstract promise rather than a lived experience.</w:t>
      </w:r>
    </w:p>
    <w:p w14:paraId="54E17936" w14:textId="77777777" w:rsidR="001600D6" w:rsidRDefault="00170B57">
      <w:r>
        <w:t xml:space="preserve">A fundamental contradiction of Georgia’s post-independence politics is </w:t>
      </w:r>
      <w:r>
        <w:rPr>
          <w:lang w:val="en-US"/>
        </w:rPr>
        <w:t xml:space="preserve">that all Georgian governments over the past three and a half decades have claimed to be pro-Western and have promised the population a European democratic future, including NATO membership. Even the current ruling party, Georgian Dream, publicly declared the same until recently. Yet in practice, the actions of all those governments, without exception, have often fallen short of democratic standards, at times even sharply contradicting them. </w:t>
      </w:r>
    </w:p>
    <w:p w14:paraId="54E17937" w14:textId="77777777" w:rsidR="001600D6" w:rsidRDefault="00170B57">
      <w:r>
        <w:t xml:space="preserve">Against this backdrop, today, the ruling party has deliberately cast Europe as a convenient scapegoat for almost all of the country’s past and current difficulties, whether stemming from poor governance, institutional weaknesses, corruption, reform costs, or external developments beyond Georgia’s control. </w:t>
      </w:r>
      <w:r>
        <w:rPr>
          <w:lang w:val="en-US"/>
        </w:rPr>
        <w:t>Georgian Dream has transformed ordinary challenges into a political weapon to erode public trust in democratic reforms and derail the country’s European path.</w:t>
      </w:r>
    </w:p>
    <w:p w14:paraId="54E17938" w14:textId="77777777" w:rsidR="001600D6" w:rsidRDefault="00170B57">
      <w:r>
        <w:t>As noted above, in every election, including the watershed 2012 vote, virtually all political actors pledged a European future to voters; even marginal candidates openly backed or courted by the Kremlin used pro-Western rhetoric. Unlike in Ukraine, Moldova, or Armenia, where societies were exposed to competing geopolitical visions and, over time, could observe different policy orientations, compare outcomes, and distinguish between credible and non-credible strategic paths, Georgian voters were never offered a genuine choice. They were offered reassurance that the European path was uncontested and secure. This monopoly of a single geopolitical orientation meant that alternatives were neither seriously articulated nor openly debated. Paradoxically, the absence of pluralism later became a vulnerability: because the European choice was never collectively debated and consciously affirmed, it failed to generate a strong sense of public ownership.</w:t>
      </w:r>
    </w:p>
    <w:p w14:paraId="54E17939" w14:textId="77777777" w:rsidR="001600D6" w:rsidRDefault="00170B57">
      <w:pPr>
        <w:rPr>
          <w:lang w:val="en-US"/>
        </w:rPr>
      </w:pPr>
      <w:r>
        <w:rPr>
          <w:lang w:val="en-US"/>
        </w:rPr>
        <w:t xml:space="preserve">Today, pro-Russian actors exploit this gap by asking: “Who decided that Georgia must choose Europe?” The ruling Georgian Dream has increasingly reinforced this narrative by claiming that the European course was imposed on Georgia by some phantom foreign forces. </w:t>
      </w:r>
    </w:p>
    <w:p w14:paraId="54E1793A" w14:textId="77777777" w:rsidR="001600D6" w:rsidRDefault="00170B57">
      <w:r>
        <w:rPr>
          <w:lang w:val="en-US"/>
        </w:rPr>
        <w:lastRenderedPageBreak/>
        <w:t xml:space="preserve">At the same time, fully replacing Europe with Russia remains politically tricky in the short term, given prevailing public attitudes. Instead, the government has sought to cultivate the idea of “state neutrality” as an ostensibly safer alternative to Western integration, one that promises stability while allowing Georgians to preserve their traditions, identity, and way of life without external pressure. </w:t>
      </w:r>
      <w:r>
        <w:t>Packaged in</w:t>
      </w:r>
      <w:r>
        <w:rPr>
          <w:lang w:val="en-US"/>
        </w:rPr>
        <w:t xml:space="preserve"> this way, neutrality appears as a return to normalcy and sovereignty. Such a narrative can gain traction precisely because the European path was never thoroughly debated, </w:t>
      </w:r>
      <w:proofErr w:type="spellStart"/>
      <w:r>
        <w:rPr>
          <w:lang w:val="en-US"/>
        </w:rPr>
        <w:t>internalised</w:t>
      </w:r>
      <w:proofErr w:type="spellEnd"/>
      <w:r>
        <w:rPr>
          <w:lang w:val="en-US"/>
        </w:rPr>
        <w:t>, and embraced on the basis of knowledge.</w:t>
      </w:r>
    </w:p>
    <w:p w14:paraId="54E1793B" w14:textId="77777777" w:rsidR="001600D6" w:rsidRDefault="00170B57">
      <w:r>
        <w:rPr>
          <w:lang w:val="en-US"/>
        </w:rPr>
        <w:t xml:space="preserve">In reality, however, neutrality functions as a transitional narrative rather than a genuine option. </w:t>
      </w:r>
      <w:r>
        <w:t>Given Georgia’s geography, security environment and economic dependencies, let alone historical experience, neutrality is simply not workable. In practice, abandoning Western integration is the fastest route to renewed subordination to Russia and the gradual erosion of Georgian statehood.</w:t>
      </w:r>
    </w:p>
    <w:p w14:paraId="54E1793C" w14:textId="77777777" w:rsidR="001600D6" w:rsidRDefault="00170B57">
      <w:r>
        <w:rPr>
          <w:b/>
          <w:bCs/>
          <w:lang w:val="en-US"/>
        </w:rPr>
        <w:t>CONCLUSIONS:</w:t>
      </w:r>
      <w:r>
        <w:rPr>
          <w:lang w:val="en-US"/>
        </w:rPr>
        <w:t xml:space="preserve"> Georgia’s democratic and geopolitical setback is not the result of abandoning Europe overnight. It is the consequence of failing to cultivate deep understanding, ownership, and resilience around the European choice over three decades. Strategic orientations cannot survive on consensus alone; they require constant explanation, public debate, and civic education.</w:t>
      </w:r>
    </w:p>
    <w:p w14:paraId="54E1793D" w14:textId="77777777" w:rsidR="001600D6" w:rsidRDefault="00170B57">
      <w:r>
        <w:rPr>
          <w:lang w:val="en-US"/>
        </w:rPr>
        <w:t xml:space="preserve">For years, Georgia proudly cited overwhelming public support for European integration. Yet emotional endorsement without understanding is fragile. A society that genuinely comprehends how Western institutions function and what integration realistically entails is far more resilient to manipulation. In retrospect, 50 or even 40 per cent of firm, knowledge-based support would have been more durable than 80 per cent of symbolic approval. This underscores that the key to Georgia’s recovery </w:t>
      </w:r>
      <w:r>
        <w:t>lies not in numbers alone but in cultivating genuine understanding and ownership among citizens.</w:t>
      </w:r>
    </w:p>
    <w:p w14:paraId="54E1793E" w14:textId="77777777" w:rsidR="001600D6" w:rsidRDefault="00170B57">
      <w:pPr>
        <w:rPr>
          <w:lang w:val="en-US"/>
        </w:rPr>
      </w:pPr>
      <w:r>
        <w:rPr>
          <w:lang w:val="en-US"/>
        </w:rPr>
        <w:t>This moment, however, is not irreversible. What was insufficiently addressed in the past can still be corrected. Periods of crisis often force societies to replace inherited assumptions with conscious choices. Continued engagement by Georgia’s Western partners is therefore essential—not less, but more focused on education, communication, and societal resilience.</w:t>
      </w:r>
    </w:p>
    <w:p w14:paraId="54E1793F" w14:textId="77777777" w:rsidR="001600D6" w:rsidRDefault="00170B57">
      <w:pPr>
        <w:rPr>
          <w:lang w:val="en-US"/>
        </w:rPr>
      </w:pPr>
      <w:r>
        <w:rPr>
          <w:lang w:val="en-US"/>
        </w:rPr>
        <w:t>Europe has not disappeared from Georgia’s collective identity. If reinforced through knowledge rather than slogans, it can still serve as the foundation for democratic recovery and a sustainable return to the European path.</w:t>
      </w:r>
    </w:p>
    <w:p w14:paraId="54E17940" w14:textId="77777777" w:rsidR="001600D6" w:rsidRDefault="001600D6">
      <w:pPr>
        <w:rPr>
          <w:b/>
          <w:bCs/>
          <w:i/>
          <w:iCs/>
          <w:lang w:val="en-US"/>
        </w:rPr>
      </w:pPr>
    </w:p>
    <w:p w14:paraId="54E17941" w14:textId="77777777" w:rsidR="001600D6" w:rsidRDefault="00170B57">
      <w:r>
        <w:rPr>
          <w:i/>
          <w:iCs/>
          <w:lang w:val="en-US"/>
        </w:rPr>
        <w:t xml:space="preserve">Ambassador David </w:t>
      </w:r>
      <w:proofErr w:type="spellStart"/>
      <w:r>
        <w:rPr>
          <w:i/>
          <w:iCs/>
          <w:lang w:val="en-US"/>
        </w:rPr>
        <w:t>Dondua</w:t>
      </w:r>
      <w:proofErr w:type="spellEnd"/>
      <w:r>
        <w:rPr>
          <w:i/>
          <w:iCs/>
          <w:lang w:val="en-US"/>
        </w:rPr>
        <w:t xml:space="preserve"> is a diplomat and political analyst. He serves as Chairman of the EU Awareness Centre, </w:t>
      </w:r>
      <w:r>
        <w:rPr>
          <w:i/>
          <w:iCs/>
        </w:rPr>
        <w:t>a Brussels-based think tank focused on European integration, democratic resilience, and countering hybrid threats in Eastern Europe and the South Caucasus.</w:t>
      </w:r>
    </w:p>
    <w:sectPr w:rsidR="001600D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1D5E" w14:textId="77777777" w:rsidR="003B37F4" w:rsidRDefault="003B37F4">
      <w:pPr>
        <w:spacing w:after="0" w:line="240" w:lineRule="auto"/>
      </w:pPr>
      <w:r>
        <w:separator/>
      </w:r>
    </w:p>
  </w:endnote>
  <w:endnote w:type="continuationSeparator" w:id="0">
    <w:p w14:paraId="2382196C" w14:textId="77777777" w:rsidR="003B37F4" w:rsidRDefault="003B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DCEF" w14:textId="77777777" w:rsidR="003B37F4" w:rsidRDefault="003B37F4">
      <w:pPr>
        <w:spacing w:after="0" w:line="240" w:lineRule="auto"/>
      </w:pPr>
      <w:r>
        <w:rPr>
          <w:color w:val="000000"/>
        </w:rPr>
        <w:separator/>
      </w:r>
    </w:p>
  </w:footnote>
  <w:footnote w:type="continuationSeparator" w:id="0">
    <w:p w14:paraId="40ECB4BD" w14:textId="77777777" w:rsidR="003B37F4" w:rsidRDefault="003B37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0D6"/>
    <w:rsid w:val="001600D6"/>
    <w:rsid w:val="00170B57"/>
    <w:rsid w:val="00352B84"/>
    <w:rsid w:val="003B37F4"/>
    <w:rsid w:val="00583FB5"/>
    <w:rsid w:val="008F5183"/>
    <w:rsid w:val="00A6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7928"/>
  <w15:docId w15:val="{0AEA7A10-64E8-44EA-87CB-6D426DA4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lang w:val="en-GB"/>
    </w:rPr>
  </w:style>
  <w:style w:type="character" w:customStyle="1" w:styleId="Heading2Char">
    <w:name w:val="Heading 2 Char"/>
    <w:basedOn w:val="DefaultParagraphFont"/>
    <w:rPr>
      <w:rFonts w:ascii="Calibri Light" w:eastAsia="Times New Roman" w:hAnsi="Calibri Light" w:cs="Times New Roman"/>
      <w:color w:val="2F5496"/>
      <w:sz w:val="32"/>
      <w:szCs w:val="32"/>
      <w:lang w:val="en-GB"/>
    </w:rPr>
  </w:style>
  <w:style w:type="character" w:customStyle="1" w:styleId="Heading3Char">
    <w:name w:val="Heading 3 Char"/>
    <w:basedOn w:val="DefaultParagraphFont"/>
    <w:rPr>
      <w:rFonts w:eastAsia="Times New Roman" w:cs="Times New Roman"/>
      <w:color w:val="2F5496"/>
      <w:sz w:val="28"/>
      <w:szCs w:val="28"/>
      <w:lang w:val="en-GB"/>
    </w:rPr>
  </w:style>
  <w:style w:type="character" w:customStyle="1" w:styleId="Heading4Char">
    <w:name w:val="Heading 4 Char"/>
    <w:basedOn w:val="DefaultParagraphFont"/>
    <w:rPr>
      <w:rFonts w:eastAsia="Times New Roman" w:cs="Times New Roman"/>
      <w:i/>
      <w:iCs/>
      <w:color w:val="2F5496"/>
      <w:lang w:val="en-GB"/>
    </w:rPr>
  </w:style>
  <w:style w:type="character" w:customStyle="1" w:styleId="Heading5Char">
    <w:name w:val="Heading 5 Char"/>
    <w:basedOn w:val="DefaultParagraphFont"/>
    <w:rPr>
      <w:rFonts w:eastAsia="Times New Roman" w:cs="Times New Roman"/>
      <w:color w:val="2F5496"/>
      <w:lang w:val="en-GB"/>
    </w:rPr>
  </w:style>
  <w:style w:type="character" w:customStyle="1" w:styleId="Heading6Char">
    <w:name w:val="Heading 6 Char"/>
    <w:basedOn w:val="DefaultParagraphFont"/>
    <w:rPr>
      <w:rFonts w:eastAsia="Times New Roman" w:cs="Times New Roman"/>
      <w:i/>
      <w:iCs/>
      <w:color w:val="595959"/>
      <w:lang w:val="en-GB"/>
    </w:rPr>
  </w:style>
  <w:style w:type="character" w:customStyle="1" w:styleId="Heading7Char">
    <w:name w:val="Heading 7 Char"/>
    <w:basedOn w:val="DefaultParagraphFont"/>
    <w:rPr>
      <w:rFonts w:eastAsia="Times New Roman" w:cs="Times New Roman"/>
      <w:color w:val="595959"/>
      <w:lang w:val="en-GB"/>
    </w:rPr>
  </w:style>
  <w:style w:type="character" w:customStyle="1" w:styleId="Heading8Char">
    <w:name w:val="Heading 8 Char"/>
    <w:basedOn w:val="DefaultParagraphFont"/>
    <w:rPr>
      <w:rFonts w:eastAsia="Times New Roman" w:cs="Times New Roman"/>
      <w:i/>
      <w:iCs/>
      <w:color w:val="272727"/>
      <w:lang w:val="en-GB"/>
    </w:rPr>
  </w:style>
  <w:style w:type="character" w:customStyle="1" w:styleId="Heading9Char">
    <w:name w:val="Heading 9 Char"/>
    <w:basedOn w:val="DefaultParagraphFont"/>
    <w:rPr>
      <w:rFonts w:eastAsia="Times New Roman" w:cs="Times New Roman"/>
      <w:color w:val="272727"/>
      <w:lang w:val="en-GB"/>
    </w:rPr>
  </w:style>
  <w:style w:type="paragraph" w:styleId="Title">
    <w:name w:val="Title"/>
    <w:basedOn w:val="Normal"/>
    <w:next w:val="Normal"/>
    <w:uiPriority w:val="10"/>
    <w:qFormat/>
    <w:pPr>
      <w:spacing w:after="80" w:line="240" w:lineRule="auto"/>
      <w:contextualSpacing/>
    </w:pPr>
    <w:rPr>
      <w:rFonts w:ascii="Calibri Light" w:eastAsia="Times New Roman" w:hAnsi="Calibri Light" w:cs="Times New Roman"/>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lang w:val="en-GB"/>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lang w:val="en-GB"/>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lang w:val="en-GB"/>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lang w:val="en-GB"/>
    </w:rPr>
  </w:style>
  <w:style w:type="character" w:styleId="IntenseReference">
    <w:name w:val="Intense Reference"/>
    <w:basedOn w:val="DefaultParagraphFont"/>
    <w:rPr>
      <w:b/>
      <w:bCs/>
      <w:smallCaps/>
      <w:color w:val="2F5496"/>
      <w:spacing w:val="5"/>
    </w:rPr>
  </w:style>
  <w:style w:type="paragraph" w:styleId="NormalWeb">
    <w:name w:val="Normal (Web)"/>
    <w:basedOn w:val="Normal"/>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1560</Words>
  <Characters>8896</Characters>
  <Application>Microsoft Office Word</Application>
  <DocSecurity>0</DocSecurity>
  <Lines>74</Lines>
  <Paragraphs>20</Paragraphs>
  <ScaleCrop>false</ScaleCrop>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Dondua EPLO</dc:creator>
  <dc:description/>
  <cp:lastModifiedBy>David Soumbadze</cp:lastModifiedBy>
  <cp:revision>2</cp:revision>
  <dcterms:created xsi:type="dcterms:W3CDTF">2026-01-29T01:18:00Z</dcterms:created>
  <dcterms:modified xsi:type="dcterms:W3CDTF">2026-01-29T01:18:00Z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523dda7c-e005-498f-8ddf-ad6726fee095</vt:lpwstr>
  </property>
</Properties>
</file>