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6497" w14:textId="5A56B670" w:rsidR="00C54F34" w:rsidRPr="00854FF0" w:rsidRDefault="00854FF0" w:rsidP="00854FF0">
      <w:pPr>
        <w:rPr>
          <w:rFonts w:ascii="Verdana" w:hAnsi="Verdana"/>
          <w:sz w:val="20"/>
          <w:szCs w:val="20"/>
          <w:lang w:val="en-US"/>
        </w:rPr>
      </w:pPr>
      <w:r w:rsidRPr="00854FF0">
        <w:rPr>
          <w:rFonts w:ascii="Verdana" w:hAnsi="Verdana"/>
          <w:b/>
          <w:bCs/>
          <w:sz w:val="20"/>
          <w:szCs w:val="20"/>
          <w:lang w:val="en-US"/>
        </w:rPr>
        <w:t>THE END OF TANDEM: POWER CONSOLIDATION AND EMERGING RISKS IN KYRGYZSTAN</w:t>
      </w:r>
    </w:p>
    <w:p w14:paraId="5C806499" w14:textId="432637BF" w:rsidR="00C54F34" w:rsidRPr="00587F2E" w:rsidRDefault="008B71CA" w:rsidP="00854FF0">
      <w:pPr>
        <w:rPr>
          <w:rFonts w:ascii="Verdana" w:hAnsi="Verdana"/>
          <w:sz w:val="20"/>
          <w:szCs w:val="20"/>
          <w:lang w:val="en-US"/>
        </w:rPr>
      </w:pPr>
      <w:r w:rsidRPr="00587F2E">
        <w:rPr>
          <w:rFonts w:ascii="Verdana" w:hAnsi="Verdana"/>
          <w:sz w:val="20"/>
          <w:szCs w:val="20"/>
          <w:lang w:val="en-US"/>
        </w:rPr>
        <w:t>Aigerim Turgunbaeva</w:t>
      </w:r>
    </w:p>
    <w:p w14:paraId="5C80649C" w14:textId="5B702EB6"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On February 10, 2026, President Sadyr </w:t>
      </w:r>
      <w:r w:rsidRPr="00854FF0">
        <w:rPr>
          <w:rFonts w:ascii="Verdana" w:hAnsi="Verdana"/>
          <w:sz w:val="20"/>
          <w:szCs w:val="20"/>
          <w:lang w:val="en-US"/>
        </w:rPr>
        <w:t>Japarov abruptly</w:t>
      </w:r>
      <w:r w:rsidRPr="00854FF0">
        <w:rPr>
          <w:rFonts w:ascii="Verdana" w:hAnsi="Verdana"/>
          <w:sz w:val="20"/>
          <w:szCs w:val="20"/>
          <w:u w:val="single" w:color="1155CC"/>
          <w:lang w:val="en-US"/>
        </w:rPr>
        <w:t xml:space="preserve"> </w:t>
      </w:r>
      <w:hyperlink r:id="rId5" w:history="1">
        <w:r w:rsidRPr="00854FF0">
          <w:rPr>
            <w:rStyle w:val="Hyperlnk"/>
            <w:rFonts w:ascii="Verdana" w:hAnsi="Verdana"/>
            <w:sz w:val="20"/>
            <w:szCs w:val="20"/>
            <w:lang w:val="en-US"/>
          </w:rPr>
          <w:t>dismissed</w:t>
        </w:r>
      </w:hyperlink>
      <w:r w:rsidRPr="00854FF0">
        <w:rPr>
          <w:rFonts w:ascii="Verdana" w:hAnsi="Verdana"/>
          <w:sz w:val="20"/>
          <w:szCs w:val="20"/>
          <w:lang w:val="en-US"/>
        </w:rPr>
        <w:t xml:space="preserve"> his longtime ally and security chief </w:t>
      </w:r>
      <w:proofErr w:type="spellStart"/>
      <w:r w:rsidRPr="00854FF0">
        <w:rPr>
          <w:rFonts w:ascii="Verdana" w:hAnsi="Verdana"/>
          <w:sz w:val="20"/>
          <w:szCs w:val="20"/>
          <w:lang w:val="en-US"/>
        </w:rPr>
        <w:t>Kamchybek</w:t>
      </w:r>
      <w:proofErr w:type="spellEnd"/>
      <w:r w:rsidRPr="00854FF0">
        <w:rPr>
          <w:rFonts w:ascii="Verdana" w:hAnsi="Verdana"/>
          <w:sz w:val="20"/>
          <w:szCs w:val="20"/>
          <w:lang w:val="en-US"/>
        </w:rPr>
        <w:t xml:space="preserve"> Tashiev</w:t>
      </w:r>
      <w:r w:rsidRPr="00854FF0">
        <w:rPr>
          <w:rFonts w:ascii="Verdana" w:hAnsi="Verdana"/>
          <w:sz w:val="20"/>
          <w:szCs w:val="20"/>
          <w:lang w:val="en-US"/>
        </w:rPr>
        <w:t xml:space="preserve"> </w:t>
      </w:r>
      <w:r w:rsidRPr="00854FF0">
        <w:rPr>
          <w:rFonts w:ascii="Verdana" w:hAnsi="Verdana"/>
          <w:sz w:val="20"/>
          <w:szCs w:val="20"/>
          <w:lang w:val="en-US"/>
        </w:rPr>
        <w:t>while the latter was undergoing medical treatment in Munich, Germany</w:t>
      </w:r>
      <w:r w:rsidR="0065632D" w:rsidRPr="00854FF0">
        <w:rPr>
          <w:rFonts w:ascii="Verdana" w:hAnsi="Verdana"/>
          <w:sz w:val="20"/>
          <w:szCs w:val="20"/>
          <w:lang w:val="en-US"/>
        </w:rPr>
        <w:t xml:space="preserve">. At the time, the </w:t>
      </w:r>
      <w:r w:rsidRPr="00854FF0">
        <w:rPr>
          <w:rFonts w:ascii="Verdana" w:hAnsi="Verdana"/>
          <w:sz w:val="20"/>
          <w:szCs w:val="20"/>
          <w:lang w:val="en-US"/>
        </w:rPr>
        <w:t xml:space="preserve">move </w:t>
      </w:r>
      <w:r w:rsidRPr="00854FF0">
        <w:rPr>
          <w:rFonts w:ascii="Verdana" w:hAnsi="Verdana"/>
          <w:sz w:val="20"/>
          <w:szCs w:val="20"/>
          <w:lang w:val="en-US"/>
        </w:rPr>
        <w:t xml:space="preserve">appeared sudden but limited in scope. Two months on, it has become clear that this decision marked the beginning of a far more consequential transformation. On April 29, formal charges </w:t>
      </w:r>
      <w:r w:rsidRPr="00854FF0">
        <w:rPr>
          <w:rFonts w:ascii="Verdana" w:hAnsi="Verdana"/>
          <w:sz w:val="20"/>
          <w:szCs w:val="20"/>
          <w:lang w:val="en-US"/>
        </w:rPr>
        <w:t xml:space="preserve">including high treason </w:t>
      </w:r>
      <w:r w:rsidRPr="00854FF0">
        <w:rPr>
          <w:rFonts w:ascii="Verdana" w:hAnsi="Verdana"/>
          <w:sz w:val="20"/>
          <w:szCs w:val="20"/>
          <w:lang w:val="en-US"/>
        </w:rPr>
        <w:t xml:space="preserve">were brought against </w:t>
      </w:r>
      <w:proofErr w:type="spellStart"/>
      <w:r w:rsidRPr="00854FF0">
        <w:rPr>
          <w:rFonts w:ascii="Verdana" w:hAnsi="Verdana"/>
          <w:sz w:val="20"/>
          <w:szCs w:val="20"/>
          <w:lang w:val="en-US"/>
        </w:rPr>
        <w:t>Tashiev</w:t>
      </w:r>
      <w:proofErr w:type="spellEnd"/>
      <w:r w:rsidRPr="00854FF0">
        <w:rPr>
          <w:rFonts w:ascii="Verdana" w:hAnsi="Verdana"/>
          <w:sz w:val="20"/>
          <w:szCs w:val="20"/>
          <w:lang w:val="en-US"/>
        </w:rPr>
        <w:t>, effectively sealing the end of the informal tandem that had defined Kyrgyz politics for over five years.</w:t>
      </w:r>
    </w:p>
    <w:p w14:paraId="5C80649D" w14:textId="01FA3330"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What followed was not merely a </w:t>
      </w:r>
      <w:hyperlink r:id="rId6" w:history="1">
        <w:r w:rsidRPr="00854FF0">
          <w:rPr>
            <w:rFonts w:ascii="Verdana" w:hAnsi="Verdana"/>
            <w:color w:val="1155CC"/>
            <w:sz w:val="20"/>
            <w:szCs w:val="20"/>
            <w:u w:val="single" w:color="1155CC"/>
            <w:lang w:val="en-US"/>
          </w:rPr>
          <w:t>leadership reshuffle</w:t>
        </w:r>
      </w:hyperlink>
      <w:r w:rsidRPr="00854FF0">
        <w:rPr>
          <w:rFonts w:ascii="Verdana" w:hAnsi="Verdana"/>
          <w:sz w:val="20"/>
          <w:szCs w:val="20"/>
          <w:lang w:val="en-US"/>
        </w:rPr>
        <w:t>, but the systematic dismantling of the informal tandem</w:t>
      </w:r>
      <w:r w:rsidR="00C73B8E" w:rsidRPr="00854FF0">
        <w:rPr>
          <w:rFonts w:ascii="Verdana" w:hAnsi="Verdana"/>
          <w:sz w:val="20"/>
          <w:szCs w:val="20"/>
          <w:lang w:val="en-US"/>
        </w:rPr>
        <w:t xml:space="preserve"> </w:t>
      </w:r>
      <w:r w:rsidRPr="00854FF0">
        <w:rPr>
          <w:rFonts w:ascii="Verdana" w:hAnsi="Verdana"/>
          <w:sz w:val="20"/>
          <w:szCs w:val="20"/>
          <w:lang w:val="en-US"/>
        </w:rPr>
        <w:t xml:space="preserve">that had structured Kyrgyzstan’s political system since the 2020 upheaval. The trigger appears to have been a petition signed by 75 public figures on February 9 calling for early presidential elections. Within days, key elements of </w:t>
      </w:r>
      <w:proofErr w:type="spellStart"/>
      <w:r w:rsidRPr="00854FF0">
        <w:rPr>
          <w:rFonts w:ascii="Verdana" w:hAnsi="Verdana"/>
          <w:sz w:val="20"/>
          <w:szCs w:val="20"/>
          <w:lang w:val="en-US"/>
        </w:rPr>
        <w:t>Tashiev’s</w:t>
      </w:r>
      <w:proofErr w:type="spellEnd"/>
      <w:r w:rsidRPr="00854FF0">
        <w:rPr>
          <w:rFonts w:ascii="Verdana" w:hAnsi="Verdana"/>
          <w:sz w:val="20"/>
          <w:szCs w:val="20"/>
          <w:lang w:val="en-US"/>
        </w:rPr>
        <w:t xml:space="preserve"> institutional base were reconfigured; within weeks, his network came under sustained pressure; and by early April, the </w:t>
      </w:r>
      <w:hyperlink r:id="rId7" w:history="1">
        <w:r w:rsidRPr="00854FF0">
          <w:rPr>
            <w:rStyle w:val="Hyperlnk"/>
            <w:rFonts w:ascii="Verdana" w:hAnsi="Verdana"/>
            <w:sz w:val="20"/>
            <w:szCs w:val="20"/>
            <w:lang w:val="en-US"/>
          </w:rPr>
          <w:t>arrest</w:t>
        </w:r>
      </w:hyperlink>
      <w:r w:rsidRPr="00854FF0">
        <w:rPr>
          <w:rFonts w:ascii="Verdana" w:hAnsi="Verdana"/>
          <w:sz w:val="20"/>
          <w:szCs w:val="20"/>
          <w:lang w:val="en-US"/>
        </w:rPr>
        <w:t xml:space="preserve"> of his brother </w:t>
      </w:r>
      <w:proofErr w:type="spellStart"/>
      <w:r w:rsidRPr="00854FF0">
        <w:rPr>
          <w:rFonts w:ascii="Verdana" w:hAnsi="Verdana"/>
          <w:sz w:val="20"/>
          <w:szCs w:val="20"/>
          <w:lang w:val="en-US"/>
        </w:rPr>
        <w:t>Shairbek</w:t>
      </w:r>
      <w:proofErr w:type="spellEnd"/>
      <w:r w:rsidRPr="00854FF0">
        <w:rPr>
          <w:rFonts w:ascii="Verdana" w:hAnsi="Verdana"/>
          <w:sz w:val="20"/>
          <w:szCs w:val="20"/>
          <w:lang w:val="en-US"/>
        </w:rPr>
        <w:t xml:space="preserve"> Tashiev</w:t>
      </w:r>
      <w:r w:rsidRPr="00854FF0">
        <w:rPr>
          <w:rFonts w:ascii="Verdana" w:hAnsi="Verdana"/>
          <w:sz w:val="20"/>
          <w:szCs w:val="20"/>
          <w:lang w:val="en-US"/>
        </w:rPr>
        <w:t xml:space="preserve"> </w:t>
      </w:r>
      <w:r w:rsidRPr="00854FF0">
        <w:rPr>
          <w:rFonts w:ascii="Verdana" w:hAnsi="Verdana"/>
          <w:sz w:val="20"/>
          <w:szCs w:val="20"/>
          <w:lang w:val="en-US"/>
        </w:rPr>
        <w:t>on corruption charges underscored the depth of the ongoing purge.</w:t>
      </w:r>
    </w:p>
    <w:p w14:paraId="5B21B009" w14:textId="1FCC8650" w:rsidR="0006332E" w:rsidRPr="00854FF0" w:rsidRDefault="00843F2D" w:rsidP="00854FF0">
      <w:pPr>
        <w:rPr>
          <w:rFonts w:ascii="Verdana" w:hAnsi="Verdana"/>
          <w:sz w:val="20"/>
          <w:szCs w:val="20"/>
          <w:lang w:val="en-US"/>
        </w:rPr>
      </w:pPr>
      <w:r w:rsidRPr="00854FF0">
        <w:rPr>
          <w:rFonts w:ascii="Verdana" w:hAnsi="Verdana"/>
          <w:b/>
          <w:bCs/>
          <w:sz w:val="20"/>
          <w:szCs w:val="20"/>
          <w:lang w:val="en-US"/>
        </w:rPr>
        <w:t>BACKGROUND</w:t>
      </w:r>
      <w:r w:rsidR="00587F2E">
        <w:rPr>
          <w:rFonts w:ascii="Verdana" w:hAnsi="Verdana"/>
          <w:b/>
          <w:bCs/>
          <w:sz w:val="20"/>
          <w:szCs w:val="20"/>
          <w:lang w:val="en-US"/>
        </w:rPr>
        <w:t xml:space="preserve">: </w:t>
      </w:r>
      <w:r w:rsidR="0006332E" w:rsidRPr="00854FF0">
        <w:rPr>
          <w:rFonts w:ascii="Verdana" w:hAnsi="Verdana"/>
          <w:sz w:val="20"/>
          <w:szCs w:val="20"/>
          <w:lang w:val="en-US"/>
        </w:rPr>
        <w:t xml:space="preserve">The removal of </w:t>
      </w:r>
      <w:proofErr w:type="spellStart"/>
      <w:r w:rsidR="0006332E" w:rsidRPr="00854FF0">
        <w:rPr>
          <w:rFonts w:ascii="Verdana" w:hAnsi="Verdana"/>
          <w:sz w:val="20"/>
          <w:szCs w:val="20"/>
          <w:lang w:val="en-US"/>
        </w:rPr>
        <w:t>Tashiev</w:t>
      </w:r>
      <w:proofErr w:type="spellEnd"/>
      <w:r w:rsidR="0006332E" w:rsidRPr="00854FF0">
        <w:rPr>
          <w:rFonts w:ascii="Verdana" w:hAnsi="Verdana"/>
          <w:sz w:val="20"/>
          <w:szCs w:val="20"/>
          <w:lang w:val="en-US"/>
        </w:rPr>
        <w:t xml:space="preserve"> did not simply eliminate a powerful figure. It disrupted a governance mechanism that balanced regional elites, distributed control over the security apparatus, and contained intra-elite competition. In its place, a more centralized and personalized presidential vertical is taking shape. This consolidation may enhance short-term </w:t>
      </w:r>
      <w:proofErr w:type="gramStart"/>
      <w:r w:rsidR="0006332E" w:rsidRPr="00854FF0">
        <w:rPr>
          <w:rFonts w:ascii="Verdana" w:hAnsi="Verdana"/>
          <w:sz w:val="20"/>
          <w:szCs w:val="20"/>
          <w:lang w:val="en-US"/>
        </w:rPr>
        <w:t>governability</w:t>
      </w:r>
      <w:proofErr w:type="gramEnd"/>
      <w:r w:rsidR="0006332E" w:rsidRPr="00854FF0">
        <w:rPr>
          <w:rFonts w:ascii="Verdana" w:hAnsi="Verdana"/>
          <w:sz w:val="20"/>
          <w:szCs w:val="20"/>
          <w:lang w:val="en-US"/>
        </w:rPr>
        <w:t xml:space="preserve"> yet it also raises deeper questions about systemic resilience.</w:t>
      </w:r>
    </w:p>
    <w:p w14:paraId="5C8064A0" w14:textId="312F75B4" w:rsidR="00C54F34" w:rsidRPr="00854FF0" w:rsidRDefault="00843F2D" w:rsidP="00854FF0">
      <w:pPr>
        <w:rPr>
          <w:rFonts w:ascii="Verdana" w:hAnsi="Verdana"/>
          <w:sz w:val="20"/>
          <w:szCs w:val="20"/>
          <w:lang w:val="en-US"/>
        </w:rPr>
      </w:pPr>
      <w:r w:rsidRPr="00854FF0">
        <w:rPr>
          <w:rFonts w:ascii="Verdana" w:hAnsi="Verdana"/>
          <w:sz w:val="20"/>
          <w:szCs w:val="20"/>
          <w:lang w:val="en-US"/>
        </w:rPr>
        <w:t>Following the October 2020 political upheaval, Kyrgyzstan’s executive system coalesced around an informal dual structure. By 2021, this arrangement</w:t>
      </w:r>
      <w:r w:rsidR="008F3D20" w:rsidRPr="00854FF0">
        <w:rPr>
          <w:rFonts w:ascii="Verdana" w:hAnsi="Verdana"/>
          <w:sz w:val="20"/>
          <w:szCs w:val="20"/>
          <w:lang w:val="en-US"/>
        </w:rPr>
        <w:t xml:space="preserve">, </w:t>
      </w:r>
      <w:r w:rsidRPr="00854FF0">
        <w:rPr>
          <w:rFonts w:ascii="Verdana" w:hAnsi="Verdana"/>
          <w:sz w:val="20"/>
          <w:szCs w:val="20"/>
          <w:lang w:val="en-US"/>
        </w:rPr>
        <w:t xml:space="preserve">widely referred to domestically as </w:t>
      </w:r>
      <w:hyperlink r:id="rId8" w:history="1">
        <w:proofErr w:type="spellStart"/>
        <w:r w:rsidRPr="00854FF0">
          <w:rPr>
            <w:rFonts w:ascii="Verdana" w:hAnsi="Verdana"/>
            <w:color w:val="1155CC"/>
            <w:sz w:val="20"/>
            <w:szCs w:val="20"/>
            <w:u w:val="single" w:color="1155CC"/>
            <w:lang w:val="en-US"/>
          </w:rPr>
          <w:t>eki</w:t>
        </w:r>
        <w:proofErr w:type="spellEnd"/>
        <w:r w:rsidRPr="00854FF0">
          <w:rPr>
            <w:rFonts w:ascii="Verdana" w:hAnsi="Verdana"/>
            <w:color w:val="1155CC"/>
            <w:sz w:val="20"/>
            <w:szCs w:val="20"/>
            <w:u w:val="single" w:color="1155CC"/>
            <w:lang w:val="en-US"/>
          </w:rPr>
          <w:t xml:space="preserve"> dos</w:t>
        </w:r>
      </w:hyperlink>
      <w:r w:rsidRPr="00854FF0">
        <w:rPr>
          <w:rFonts w:ascii="Verdana" w:hAnsi="Verdana"/>
          <w:sz w:val="20"/>
          <w:szCs w:val="20"/>
          <w:lang w:val="en-US"/>
        </w:rPr>
        <w:t xml:space="preserve"> (“two friends”)</w:t>
      </w:r>
      <w:r w:rsidR="008F3D20" w:rsidRPr="00854FF0">
        <w:rPr>
          <w:rFonts w:ascii="Verdana" w:hAnsi="Verdana"/>
          <w:sz w:val="20"/>
          <w:szCs w:val="20"/>
          <w:lang w:val="en-US"/>
        </w:rPr>
        <w:t xml:space="preserve">, </w:t>
      </w:r>
      <w:r w:rsidRPr="00854FF0">
        <w:rPr>
          <w:rFonts w:ascii="Verdana" w:hAnsi="Verdana"/>
          <w:sz w:val="20"/>
          <w:szCs w:val="20"/>
          <w:lang w:val="en-US"/>
        </w:rPr>
        <w:t>had become the de facto governing model of the post-revolutionary order.</w:t>
      </w:r>
    </w:p>
    <w:p w14:paraId="5C8064A1" w14:textId="39C9EB00"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At its core, the </w:t>
      </w:r>
      <w:r w:rsidRPr="00854FF0">
        <w:rPr>
          <w:rFonts w:ascii="Verdana" w:hAnsi="Verdana"/>
          <w:color w:val="1155CC"/>
          <w:sz w:val="20"/>
          <w:szCs w:val="20"/>
          <w:u w:val="single" w:color="1155CC"/>
          <w:lang w:val="en-US"/>
        </w:rPr>
        <w:t>tandem</w:t>
      </w:r>
      <w:r w:rsidRPr="00854FF0">
        <w:rPr>
          <w:rFonts w:ascii="Verdana" w:hAnsi="Verdana"/>
          <w:sz w:val="20"/>
          <w:szCs w:val="20"/>
          <w:u w:color="1155CC"/>
          <w:lang w:val="en-US"/>
        </w:rPr>
        <w:t xml:space="preserve"> between Japarov and </w:t>
      </w:r>
      <w:proofErr w:type="spellStart"/>
      <w:r w:rsidRPr="00854FF0">
        <w:rPr>
          <w:rFonts w:ascii="Verdana" w:hAnsi="Verdana"/>
          <w:sz w:val="20"/>
          <w:szCs w:val="20"/>
          <w:u w:color="1155CC"/>
          <w:lang w:val="en-US"/>
        </w:rPr>
        <w:t>Kamchybek</w:t>
      </w:r>
      <w:proofErr w:type="spellEnd"/>
      <w:r w:rsidRPr="00854FF0">
        <w:rPr>
          <w:rFonts w:ascii="Verdana" w:hAnsi="Verdana"/>
          <w:sz w:val="20"/>
          <w:szCs w:val="20"/>
          <w:u w:color="1155CC"/>
          <w:lang w:val="en-US"/>
        </w:rPr>
        <w:t xml:space="preserve"> </w:t>
      </w:r>
      <w:proofErr w:type="spellStart"/>
      <w:r w:rsidRPr="00854FF0">
        <w:rPr>
          <w:rFonts w:ascii="Verdana" w:hAnsi="Verdana"/>
          <w:sz w:val="20"/>
          <w:szCs w:val="20"/>
          <w:u w:color="1155CC"/>
          <w:lang w:val="en-US"/>
        </w:rPr>
        <w:t>Tashiev</w:t>
      </w:r>
      <w:proofErr w:type="spellEnd"/>
      <w:r w:rsidRPr="00854FF0">
        <w:rPr>
          <w:rFonts w:ascii="Verdana" w:hAnsi="Verdana"/>
          <w:sz w:val="20"/>
          <w:szCs w:val="20"/>
          <w:lang w:val="en-US"/>
        </w:rPr>
        <w:t xml:space="preserve"> </w:t>
      </w:r>
      <w:r w:rsidRPr="00854FF0">
        <w:rPr>
          <w:rFonts w:ascii="Verdana" w:hAnsi="Verdana"/>
          <w:sz w:val="20"/>
          <w:szCs w:val="20"/>
          <w:lang w:val="en-US"/>
        </w:rPr>
        <w:t xml:space="preserve">represented an informal division of political labor rather than a codified institutional framework. Japarov retained formal constitutional authority and served as the public face of the state. </w:t>
      </w:r>
      <w:proofErr w:type="spellStart"/>
      <w:r w:rsidRPr="00854FF0">
        <w:rPr>
          <w:rFonts w:ascii="Verdana" w:hAnsi="Verdana"/>
          <w:sz w:val="20"/>
          <w:szCs w:val="20"/>
          <w:lang w:val="en-US"/>
        </w:rPr>
        <w:t>Tashiev</w:t>
      </w:r>
      <w:proofErr w:type="spellEnd"/>
      <w:r w:rsidRPr="00854FF0">
        <w:rPr>
          <w:rFonts w:ascii="Verdana" w:hAnsi="Verdana"/>
          <w:sz w:val="20"/>
          <w:szCs w:val="20"/>
          <w:lang w:val="en-US"/>
        </w:rPr>
        <w:t xml:space="preserve">, appointed </w:t>
      </w:r>
      <w:r w:rsidR="005E2593" w:rsidRPr="00854FF0">
        <w:rPr>
          <w:rFonts w:ascii="Verdana" w:hAnsi="Verdana"/>
          <w:sz w:val="20"/>
          <w:szCs w:val="20"/>
          <w:lang w:val="en-US"/>
        </w:rPr>
        <w:t xml:space="preserve">head of the </w:t>
      </w:r>
      <w:r w:rsidR="005E2593" w:rsidRPr="00854FF0">
        <w:rPr>
          <w:rFonts w:ascii="Verdana" w:hAnsi="Verdana"/>
          <w:sz w:val="20"/>
          <w:szCs w:val="20"/>
          <w:lang w:val="en-US"/>
        </w:rPr>
        <w:t>State Committee for National Security </w:t>
      </w:r>
      <w:r w:rsidR="005E2593" w:rsidRPr="00854FF0">
        <w:rPr>
          <w:rFonts w:ascii="Verdana" w:hAnsi="Verdana"/>
          <w:sz w:val="20"/>
          <w:szCs w:val="20"/>
          <w:lang w:val="en-US"/>
        </w:rPr>
        <w:t>(</w:t>
      </w:r>
      <w:r w:rsidRPr="00854FF0">
        <w:rPr>
          <w:rFonts w:ascii="Verdana" w:hAnsi="Verdana"/>
          <w:sz w:val="20"/>
          <w:szCs w:val="20"/>
          <w:lang w:val="en-US"/>
        </w:rPr>
        <w:t>GKNB</w:t>
      </w:r>
      <w:r w:rsidR="005E2593" w:rsidRPr="00854FF0">
        <w:rPr>
          <w:rFonts w:ascii="Verdana" w:hAnsi="Verdana"/>
          <w:sz w:val="20"/>
          <w:szCs w:val="20"/>
          <w:lang w:val="en-US"/>
        </w:rPr>
        <w:t>)</w:t>
      </w:r>
      <w:r w:rsidRPr="00854FF0">
        <w:rPr>
          <w:rFonts w:ascii="Verdana" w:hAnsi="Verdana"/>
          <w:sz w:val="20"/>
          <w:szCs w:val="20"/>
          <w:lang w:val="en-US"/>
        </w:rPr>
        <w:t xml:space="preserve"> </w:t>
      </w:r>
      <w:r w:rsidRPr="00854FF0">
        <w:rPr>
          <w:rFonts w:ascii="Verdana" w:hAnsi="Verdana"/>
          <w:sz w:val="20"/>
          <w:szCs w:val="20"/>
          <w:lang w:val="en-US"/>
        </w:rPr>
        <w:t>in October 2020 and later elevated to deputy chairman of the Cabinet of Ministers, gradually consolidated control over the security apparatus, anti-corruption campaigns, and elite discipline. By 2022, the GKNB had dramatically expanded its mandate into economic, educational, and even diplomatic spheres.</w:t>
      </w:r>
    </w:p>
    <w:p w14:paraId="5C8064A2" w14:textId="5D447045"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By 2023–2024, the tandem had evolved into a key stabilizing mechanism for managing Kyrgyzstan’s persistent regional cleavages. Japarov, widely associated with northern networks, and </w:t>
      </w:r>
      <w:proofErr w:type="spellStart"/>
      <w:r w:rsidRPr="00854FF0">
        <w:rPr>
          <w:rFonts w:ascii="Verdana" w:hAnsi="Verdana"/>
          <w:sz w:val="20"/>
          <w:szCs w:val="20"/>
          <w:lang w:val="en-US"/>
        </w:rPr>
        <w:t>Tashiev</w:t>
      </w:r>
      <w:proofErr w:type="spellEnd"/>
      <w:r w:rsidRPr="00854FF0">
        <w:rPr>
          <w:rFonts w:ascii="Verdana" w:hAnsi="Verdana"/>
          <w:sz w:val="20"/>
          <w:szCs w:val="20"/>
          <w:lang w:val="en-US"/>
        </w:rPr>
        <w:t>, whose base was rooted in Osh and Jalal-Abad, together helped contain long-standing north–south tensions</w:t>
      </w:r>
      <w:r w:rsidR="00A74668" w:rsidRPr="00854FF0">
        <w:rPr>
          <w:rFonts w:ascii="Verdana" w:hAnsi="Verdana"/>
          <w:sz w:val="20"/>
          <w:szCs w:val="20"/>
          <w:lang w:val="en-US"/>
        </w:rPr>
        <w:t xml:space="preserve">, </w:t>
      </w:r>
      <w:r w:rsidRPr="00854FF0">
        <w:rPr>
          <w:rFonts w:ascii="Verdana" w:hAnsi="Verdana"/>
          <w:sz w:val="20"/>
          <w:szCs w:val="20"/>
          <w:lang w:val="en-US"/>
        </w:rPr>
        <w:t>bridging geographic and clan-based divisions that had historically fueled political instability.</w:t>
      </w:r>
    </w:p>
    <w:p w14:paraId="5C8064A3" w14:textId="7075B7D6"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This political arrangement coincided with notable </w:t>
      </w:r>
      <w:r w:rsidRPr="00854FF0">
        <w:rPr>
          <w:rFonts w:ascii="Verdana" w:hAnsi="Verdana"/>
          <w:sz w:val="20"/>
          <w:szCs w:val="20"/>
          <w:lang w:val="en-US"/>
        </w:rPr>
        <w:t>macroeconomic stabilization and rapid</w:t>
      </w:r>
      <w:r w:rsidRPr="00854FF0">
        <w:rPr>
          <w:rFonts w:ascii="Verdana" w:hAnsi="Verdana"/>
          <w:color w:val="1155CC"/>
          <w:sz w:val="20"/>
          <w:szCs w:val="20"/>
          <w:u w:val="single" w:color="1155CC"/>
          <w:lang w:val="en-US"/>
        </w:rPr>
        <w:t xml:space="preserve"> </w:t>
      </w:r>
      <w:hyperlink r:id="rId9" w:history="1">
        <w:r w:rsidRPr="00854FF0">
          <w:rPr>
            <w:rStyle w:val="Hyperlnk"/>
            <w:rFonts w:ascii="Verdana" w:hAnsi="Verdana"/>
            <w:sz w:val="20"/>
            <w:szCs w:val="20"/>
            <w:lang w:val="en-US"/>
          </w:rPr>
          <w:t>growth</w:t>
        </w:r>
      </w:hyperlink>
      <w:r w:rsidRPr="00854FF0">
        <w:rPr>
          <w:rFonts w:ascii="Verdana" w:hAnsi="Verdana"/>
          <w:color w:val="1155CC"/>
          <w:sz w:val="20"/>
          <w:szCs w:val="20"/>
          <w:u w:val="single" w:color="1155CC"/>
          <w:lang w:val="en-US"/>
        </w:rPr>
        <w:t>.</w:t>
      </w:r>
      <w:r w:rsidRPr="00854FF0">
        <w:rPr>
          <w:rFonts w:ascii="Verdana" w:hAnsi="Verdana"/>
          <w:sz w:val="20"/>
          <w:szCs w:val="20"/>
          <w:lang w:val="en-US"/>
        </w:rPr>
        <w:t xml:space="preserve"> Between 2022 and 2025, Kyrgyzstan recorded average annual real GDP growth of approximately 10.2 percent — one of the highest rates in the region — with growth reaching 11.1 percent in 2025. Nominal GDP approximately doubled over the period, driven by remittances, cross-border trade, and state reassertion over strategic assets including the Kumtor gold mine.</w:t>
      </w:r>
    </w:p>
    <w:p w14:paraId="5C8064A4" w14:textId="4B2679F5" w:rsidR="00C54F34" w:rsidRPr="00854FF0" w:rsidRDefault="00843F2D" w:rsidP="00854FF0">
      <w:pPr>
        <w:rPr>
          <w:rFonts w:ascii="Verdana" w:hAnsi="Verdana"/>
          <w:sz w:val="20"/>
          <w:szCs w:val="20"/>
          <w:lang w:val="en-US"/>
        </w:rPr>
      </w:pPr>
      <w:r w:rsidRPr="00854FF0">
        <w:rPr>
          <w:rFonts w:ascii="Verdana" w:hAnsi="Verdana"/>
          <w:sz w:val="20"/>
          <w:szCs w:val="20"/>
          <w:lang w:val="en-US"/>
        </w:rPr>
        <w:t>By 2025, however, the same personalization that had enabled short-term stability exposed the system</w:t>
      </w:r>
      <w:r w:rsidR="005F6940" w:rsidRPr="00854FF0">
        <w:rPr>
          <w:rFonts w:ascii="Verdana" w:hAnsi="Verdana"/>
          <w:sz w:val="20"/>
          <w:szCs w:val="20"/>
          <w:lang w:val="en-US"/>
        </w:rPr>
        <w:t>’</w:t>
      </w:r>
      <w:r w:rsidRPr="00854FF0">
        <w:rPr>
          <w:rFonts w:ascii="Verdana" w:hAnsi="Verdana"/>
          <w:sz w:val="20"/>
          <w:szCs w:val="20"/>
          <w:lang w:val="en-US"/>
        </w:rPr>
        <w:t xml:space="preserve">s structural vulnerability. As </w:t>
      </w:r>
      <w:proofErr w:type="spellStart"/>
      <w:r w:rsidRPr="00854FF0">
        <w:rPr>
          <w:rFonts w:ascii="Verdana" w:hAnsi="Verdana"/>
          <w:sz w:val="20"/>
          <w:szCs w:val="20"/>
          <w:lang w:val="en-US"/>
        </w:rPr>
        <w:t>Tashiev’s</w:t>
      </w:r>
      <w:proofErr w:type="spellEnd"/>
      <w:r w:rsidRPr="00854FF0">
        <w:rPr>
          <w:rFonts w:ascii="Verdana" w:hAnsi="Verdana"/>
          <w:sz w:val="20"/>
          <w:szCs w:val="20"/>
          <w:lang w:val="en-US"/>
        </w:rPr>
        <w:t xml:space="preserve"> institutional profile grew</w:t>
      </w:r>
      <w:r w:rsidR="005F6940" w:rsidRPr="00854FF0">
        <w:rPr>
          <w:rFonts w:ascii="Verdana" w:hAnsi="Verdana"/>
          <w:sz w:val="20"/>
          <w:szCs w:val="20"/>
          <w:lang w:val="en-US"/>
        </w:rPr>
        <w:t>,</w:t>
      </w:r>
      <w:r w:rsidRPr="00854FF0">
        <w:rPr>
          <w:rFonts w:ascii="Verdana" w:hAnsi="Verdana"/>
          <w:sz w:val="20"/>
          <w:szCs w:val="20"/>
          <w:lang w:val="en-US"/>
        </w:rPr>
        <w:t xml:space="preserve"> </w:t>
      </w:r>
      <w:r w:rsidRPr="00854FF0">
        <w:rPr>
          <w:rFonts w:ascii="Verdana" w:hAnsi="Verdana"/>
          <w:sz w:val="20"/>
          <w:szCs w:val="20"/>
          <w:lang w:val="en-US"/>
        </w:rPr>
        <w:t>at times appearing to rival the president’s</w:t>
      </w:r>
      <w:r w:rsidR="005F6940" w:rsidRPr="00854FF0">
        <w:rPr>
          <w:rFonts w:ascii="Verdana" w:hAnsi="Verdana"/>
          <w:sz w:val="20"/>
          <w:szCs w:val="20"/>
          <w:lang w:val="en-US"/>
        </w:rPr>
        <w:t>,</w:t>
      </w:r>
      <w:r w:rsidRPr="00854FF0">
        <w:rPr>
          <w:rFonts w:ascii="Verdana" w:hAnsi="Verdana"/>
          <w:sz w:val="20"/>
          <w:szCs w:val="20"/>
          <w:lang w:val="en-US"/>
        </w:rPr>
        <w:t xml:space="preserve"> </w:t>
      </w:r>
      <w:r w:rsidRPr="00854FF0">
        <w:rPr>
          <w:rFonts w:ascii="Verdana" w:hAnsi="Verdana"/>
          <w:sz w:val="20"/>
          <w:szCs w:val="20"/>
          <w:lang w:val="en-US"/>
        </w:rPr>
        <w:t>latent tensions within the duumvirate became harder to ignore. What had begun as a complementary partnership gradually transformed into a delicate balance whose rupture would reshape the entire political architecture.</w:t>
      </w:r>
    </w:p>
    <w:p w14:paraId="5C8064A6" w14:textId="58BC7C3A"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The breakdown did not occur as a single rupture, but as a carefully sequenced series of moves. The process was triggered on </w:t>
      </w:r>
      <w:r w:rsidRPr="00854FF0">
        <w:rPr>
          <w:rFonts w:ascii="Verdana" w:hAnsi="Verdana"/>
          <w:sz w:val="20"/>
          <w:szCs w:val="20"/>
          <w:lang w:val="en-US"/>
        </w:rPr>
        <w:t>February 9, 2026, when a</w:t>
      </w:r>
      <w:r w:rsidRPr="00854FF0">
        <w:rPr>
          <w:rFonts w:ascii="Verdana" w:hAnsi="Verdana"/>
          <w:sz w:val="20"/>
          <w:szCs w:val="20"/>
          <w:u w:val="single" w:color="1155CC"/>
          <w:lang w:val="en-US"/>
        </w:rPr>
        <w:t xml:space="preserve"> </w:t>
      </w:r>
      <w:hyperlink r:id="rId10" w:history="1">
        <w:r w:rsidRPr="00854FF0">
          <w:rPr>
            <w:rStyle w:val="Hyperlnk"/>
            <w:rFonts w:ascii="Verdana" w:hAnsi="Verdana"/>
            <w:sz w:val="20"/>
            <w:szCs w:val="20"/>
            <w:lang w:val="en-US"/>
          </w:rPr>
          <w:t>group</w:t>
        </w:r>
      </w:hyperlink>
      <w:r w:rsidRPr="00854FF0">
        <w:rPr>
          <w:rFonts w:ascii="Verdana" w:hAnsi="Verdana"/>
          <w:sz w:val="20"/>
          <w:szCs w:val="20"/>
          <w:lang w:val="en-US"/>
        </w:rPr>
        <w:t xml:space="preserve"> of 75 prominent public figures, intellectuals,</w:t>
      </w:r>
      <w:r w:rsidRPr="00854FF0">
        <w:rPr>
          <w:rFonts w:ascii="Verdana" w:hAnsi="Verdana"/>
          <w:sz w:val="20"/>
          <w:szCs w:val="20"/>
          <w:lang w:val="en-US"/>
        </w:rPr>
        <w:t xml:space="preserve"> </w:t>
      </w:r>
      <w:r w:rsidRPr="00854FF0">
        <w:rPr>
          <w:rFonts w:ascii="Verdana" w:hAnsi="Verdana"/>
          <w:sz w:val="20"/>
          <w:szCs w:val="20"/>
          <w:lang w:val="en-US"/>
        </w:rPr>
        <w:t xml:space="preserve">and former officials published an open petition calling for early presidential elections. The very next day, President Japarov dismissed Tashiev from </w:t>
      </w:r>
      <w:r w:rsidRPr="00854FF0">
        <w:rPr>
          <w:rFonts w:ascii="Verdana" w:hAnsi="Verdana"/>
          <w:sz w:val="20"/>
          <w:szCs w:val="20"/>
          <w:lang w:val="en-US"/>
        </w:rPr>
        <w:lastRenderedPageBreak/>
        <w:t xml:space="preserve">his positions as GKNB chairman and deputy cabinet chief. At the time, </w:t>
      </w:r>
      <w:proofErr w:type="spellStart"/>
      <w:r w:rsidRPr="00854FF0">
        <w:rPr>
          <w:rFonts w:ascii="Verdana" w:hAnsi="Verdana"/>
          <w:sz w:val="20"/>
          <w:szCs w:val="20"/>
          <w:lang w:val="en-US"/>
        </w:rPr>
        <w:t>Tashiev</w:t>
      </w:r>
      <w:proofErr w:type="spellEnd"/>
      <w:r w:rsidRPr="00854FF0">
        <w:rPr>
          <w:rFonts w:ascii="Verdana" w:hAnsi="Verdana"/>
          <w:sz w:val="20"/>
          <w:szCs w:val="20"/>
          <w:lang w:val="en-US"/>
        </w:rPr>
        <w:t xml:space="preserve"> was in Munich receiving medical treatment</w:t>
      </w:r>
      <w:r w:rsidR="0040395B" w:rsidRPr="00854FF0">
        <w:rPr>
          <w:rFonts w:ascii="Verdana" w:hAnsi="Verdana"/>
          <w:sz w:val="20"/>
          <w:szCs w:val="20"/>
          <w:lang w:val="en-US"/>
        </w:rPr>
        <w:t xml:space="preserve">, </w:t>
      </w:r>
      <w:r w:rsidRPr="00854FF0">
        <w:rPr>
          <w:rFonts w:ascii="Verdana" w:hAnsi="Verdana"/>
          <w:sz w:val="20"/>
          <w:szCs w:val="20"/>
          <w:lang w:val="en-US"/>
        </w:rPr>
        <w:t>a circumstance that allowed the dismissal to be executed swiftly and with minimal immediate resistance.</w:t>
      </w:r>
    </w:p>
    <w:p w14:paraId="5C8064A7" w14:textId="2C9658B6" w:rsidR="00C54F34" w:rsidRPr="00854FF0" w:rsidRDefault="00843F2D" w:rsidP="00854FF0">
      <w:pPr>
        <w:rPr>
          <w:rFonts w:ascii="Verdana" w:hAnsi="Verdana"/>
          <w:sz w:val="20"/>
          <w:szCs w:val="20"/>
          <w:lang w:val="en-US"/>
        </w:rPr>
      </w:pPr>
      <w:r w:rsidRPr="00854FF0">
        <w:rPr>
          <w:rFonts w:ascii="Verdana" w:hAnsi="Verdana"/>
          <w:sz w:val="20"/>
          <w:szCs w:val="20"/>
          <w:lang w:val="en-US"/>
        </w:rPr>
        <w:t>The official justification cited the need to “optimize state structures and improve administrative efficiency.” However, the speed and coordination of subsequent steps pointed to a deeper recalibration. Within days, key elements of the GKNB’s institutional portfolio</w:t>
      </w:r>
      <w:r w:rsidR="0040395B" w:rsidRPr="00854FF0">
        <w:rPr>
          <w:rFonts w:ascii="Verdana" w:hAnsi="Verdana"/>
          <w:sz w:val="20"/>
          <w:szCs w:val="20"/>
          <w:lang w:val="en-US"/>
        </w:rPr>
        <w:t xml:space="preserve">, </w:t>
      </w:r>
      <w:r w:rsidRPr="00854FF0">
        <w:rPr>
          <w:rFonts w:ascii="Verdana" w:hAnsi="Verdana"/>
          <w:sz w:val="20"/>
          <w:szCs w:val="20"/>
          <w:lang w:val="en-US"/>
        </w:rPr>
        <w:t>border security, protective services, and several operational departments</w:t>
      </w:r>
      <w:r w:rsidR="0040395B" w:rsidRPr="00854FF0">
        <w:rPr>
          <w:rFonts w:ascii="Verdana" w:hAnsi="Verdana"/>
          <w:sz w:val="20"/>
          <w:szCs w:val="20"/>
          <w:lang w:val="en-US"/>
        </w:rPr>
        <w:t xml:space="preserve">, </w:t>
      </w:r>
      <w:r w:rsidRPr="00854FF0">
        <w:rPr>
          <w:rFonts w:ascii="Verdana" w:hAnsi="Verdana"/>
          <w:sz w:val="20"/>
          <w:szCs w:val="20"/>
          <w:lang w:val="en-US"/>
        </w:rPr>
        <w:t>were restructured and transferred to direct presidential oversight or newly appointed loyalists.</w:t>
      </w:r>
    </w:p>
    <w:p w14:paraId="5C8064A8" w14:textId="70E1C896"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Throughout late February and March, pressure expanded to </w:t>
      </w:r>
      <w:proofErr w:type="spellStart"/>
      <w:r w:rsidRPr="00854FF0">
        <w:rPr>
          <w:rFonts w:ascii="Verdana" w:hAnsi="Verdana"/>
          <w:sz w:val="20"/>
          <w:szCs w:val="20"/>
          <w:lang w:val="en-US"/>
        </w:rPr>
        <w:t>Tashiev’s</w:t>
      </w:r>
      <w:proofErr w:type="spellEnd"/>
      <w:r w:rsidRPr="00854FF0">
        <w:rPr>
          <w:rFonts w:ascii="Verdana" w:hAnsi="Verdana"/>
          <w:sz w:val="20"/>
          <w:szCs w:val="20"/>
          <w:lang w:val="en-US"/>
        </w:rPr>
        <w:t xml:space="preserve"> broader network. A wave of dismissals and corruption investigations targeted officials linked to his circle. On March 16, the State Tax Service released a widely publicized video accusing members of the </w:t>
      </w:r>
      <w:proofErr w:type="spellStart"/>
      <w:r w:rsidRPr="00854FF0">
        <w:rPr>
          <w:rFonts w:ascii="Verdana" w:hAnsi="Verdana"/>
          <w:sz w:val="20"/>
          <w:szCs w:val="20"/>
          <w:lang w:val="en-US"/>
        </w:rPr>
        <w:t>Tashiev</w:t>
      </w:r>
      <w:proofErr w:type="spellEnd"/>
      <w:r w:rsidRPr="00854FF0">
        <w:rPr>
          <w:rFonts w:ascii="Verdana" w:hAnsi="Verdana"/>
          <w:sz w:val="20"/>
          <w:szCs w:val="20"/>
          <w:lang w:val="en-US"/>
        </w:rPr>
        <w:t xml:space="preserve"> family of large-scale corruption. This </w:t>
      </w:r>
      <w:hyperlink r:id="rId11" w:history="1">
        <w:r w:rsidRPr="00854FF0">
          <w:rPr>
            <w:rStyle w:val="Hyperlnk"/>
            <w:rFonts w:ascii="Verdana" w:hAnsi="Verdana"/>
            <w:sz w:val="20"/>
            <w:szCs w:val="20"/>
            <w:lang w:val="en-US"/>
          </w:rPr>
          <w:t>reconfiguration</w:t>
        </w:r>
      </w:hyperlink>
      <w:r w:rsidRPr="00854FF0">
        <w:rPr>
          <w:rFonts w:ascii="Verdana" w:hAnsi="Verdana"/>
          <w:sz w:val="20"/>
          <w:szCs w:val="20"/>
          <w:lang w:val="en-US"/>
        </w:rPr>
        <w:t xml:space="preserve"> fundamentally changed</w:t>
      </w:r>
      <w:r w:rsidRPr="00854FF0">
        <w:rPr>
          <w:rFonts w:ascii="Verdana" w:hAnsi="Verdana"/>
          <w:sz w:val="20"/>
          <w:szCs w:val="20"/>
          <w:lang w:val="en-US"/>
        </w:rPr>
        <w:t xml:space="preserve"> </w:t>
      </w:r>
      <w:r w:rsidRPr="00854FF0">
        <w:rPr>
          <w:rFonts w:ascii="Verdana" w:hAnsi="Verdana"/>
          <w:sz w:val="20"/>
          <w:szCs w:val="20"/>
          <w:lang w:val="en-US"/>
        </w:rPr>
        <w:t xml:space="preserve">the mechanics of the post-tandem order. The sequence reached a symbolic climax on April 1 with the arrest of </w:t>
      </w:r>
      <w:proofErr w:type="spellStart"/>
      <w:r w:rsidRPr="00854FF0">
        <w:rPr>
          <w:rFonts w:ascii="Verdana" w:hAnsi="Verdana"/>
          <w:sz w:val="20"/>
          <w:szCs w:val="20"/>
          <w:lang w:val="en-US"/>
        </w:rPr>
        <w:t>Shairbek</w:t>
      </w:r>
      <w:proofErr w:type="spellEnd"/>
      <w:r w:rsidRPr="00854FF0">
        <w:rPr>
          <w:rFonts w:ascii="Verdana" w:hAnsi="Verdana"/>
          <w:sz w:val="20"/>
          <w:szCs w:val="20"/>
          <w:lang w:val="en-US"/>
        </w:rPr>
        <w:t xml:space="preserve"> Tashiev, signaling that the purge had extended beyond formal institutional roles into the informal family-based networks underpinning the tandem’s influence. By early May, the dual governance structure had been replaced by a more centralized configuration, with key security and elite-management functions brought under direct presidential control.</w:t>
      </w:r>
    </w:p>
    <w:p w14:paraId="5C8064AA" w14:textId="45878C13" w:rsidR="00C54F34" w:rsidRPr="00854FF0" w:rsidRDefault="00843F2D" w:rsidP="00854FF0">
      <w:pPr>
        <w:rPr>
          <w:rFonts w:ascii="Verdana" w:hAnsi="Verdana"/>
          <w:sz w:val="20"/>
          <w:szCs w:val="20"/>
          <w:lang w:val="en-US"/>
        </w:rPr>
      </w:pPr>
      <w:r w:rsidRPr="00854FF0">
        <w:rPr>
          <w:rFonts w:ascii="Verdana" w:hAnsi="Verdana"/>
          <w:b/>
          <w:bCs/>
          <w:sz w:val="20"/>
          <w:szCs w:val="20"/>
          <w:lang w:val="en-US"/>
        </w:rPr>
        <w:t>IMPLICATIONS</w:t>
      </w:r>
      <w:r w:rsidR="00587F2E">
        <w:rPr>
          <w:rFonts w:ascii="Verdana" w:hAnsi="Verdana"/>
          <w:b/>
          <w:bCs/>
          <w:sz w:val="20"/>
          <w:szCs w:val="20"/>
          <w:lang w:val="en-US"/>
        </w:rPr>
        <w:t xml:space="preserve">: </w:t>
      </w:r>
      <w:r w:rsidRPr="00854FF0">
        <w:rPr>
          <w:rFonts w:ascii="Verdana" w:hAnsi="Verdana"/>
          <w:sz w:val="20"/>
          <w:szCs w:val="20"/>
          <w:lang w:val="en-US"/>
        </w:rPr>
        <w:t>The dismantling of the tandem has not been accompanied by institutional pluralization. Instead, it has accelerated the emergence of a more vertically integrated and personalized executive structure. Under the tandem, regional and factional elites could navigate between two centers of power. In the new single-center model, that balancing function has been internalized within the presidency</w:t>
      </w:r>
      <w:r w:rsidR="003E3CC7" w:rsidRPr="00854FF0">
        <w:rPr>
          <w:rFonts w:ascii="Verdana" w:hAnsi="Verdana"/>
          <w:sz w:val="20"/>
          <w:szCs w:val="20"/>
          <w:lang w:val="en-US"/>
        </w:rPr>
        <w:t>. T</w:t>
      </w:r>
      <w:r w:rsidRPr="00854FF0">
        <w:rPr>
          <w:rFonts w:ascii="Verdana" w:hAnsi="Verdana"/>
          <w:sz w:val="20"/>
          <w:szCs w:val="20"/>
          <w:lang w:val="en-US"/>
        </w:rPr>
        <w:t>he space for autonomous maneuvering by mid-level and regional actors has noticeably narrowed.</w:t>
      </w:r>
    </w:p>
    <w:p w14:paraId="5C8064AB" w14:textId="77777777"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The most immediate fault line concerns regional political balance. </w:t>
      </w:r>
      <w:proofErr w:type="spellStart"/>
      <w:r w:rsidRPr="00854FF0">
        <w:rPr>
          <w:rFonts w:ascii="Verdana" w:hAnsi="Verdana"/>
          <w:sz w:val="20"/>
          <w:szCs w:val="20"/>
          <w:lang w:val="en-US"/>
        </w:rPr>
        <w:t>Tashiev’s</w:t>
      </w:r>
      <w:proofErr w:type="spellEnd"/>
      <w:r w:rsidRPr="00854FF0">
        <w:rPr>
          <w:rFonts w:ascii="Verdana" w:hAnsi="Verdana"/>
          <w:sz w:val="20"/>
          <w:szCs w:val="20"/>
          <w:lang w:val="en-US"/>
        </w:rPr>
        <w:t xml:space="preserve"> strong southern base, particularly in Osh, Jalal-Abad, and </w:t>
      </w:r>
      <w:proofErr w:type="spellStart"/>
      <w:r w:rsidRPr="00854FF0">
        <w:rPr>
          <w:rFonts w:ascii="Verdana" w:hAnsi="Verdana"/>
          <w:sz w:val="20"/>
          <w:szCs w:val="20"/>
          <w:lang w:val="en-US"/>
        </w:rPr>
        <w:t>Batken</w:t>
      </w:r>
      <w:proofErr w:type="spellEnd"/>
      <w:r w:rsidRPr="00854FF0">
        <w:rPr>
          <w:rFonts w:ascii="Verdana" w:hAnsi="Verdana"/>
          <w:sz w:val="20"/>
          <w:szCs w:val="20"/>
          <w:lang w:val="en-US"/>
        </w:rPr>
        <w:t>, helped integrate southern elites into the national power structure and reduced perceptions of northern dominance. His removal risks generating a sense of marginalization among influential southern networks, especially if future cadre or economic policies are perceived as favoring northern interests.</w:t>
      </w:r>
    </w:p>
    <w:p w14:paraId="5C8064AC" w14:textId="784BF3A6" w:rsidR="00C54F34" w:rsidRPr="00854FF0" w:rsidRDefault="00843F2D" w:rsidP="00854FF0">
      <w:pPr>
        <w:rPr>
          <w:rFonts w:ascii="Verdana" w:hAnsi="Verdana"/>
          <w:sz w:val="20"/>
          <w:szCs w:val="20"/>
          <w:lang w:val="en-US"/>
        </w:rPr>
      </w:pPr>
      <w:r w:rsidRPr="00854FF0">
        <w:rPr>
          <w:rFonts w:ascii="Verdana" w:hAnsi="Verdana"/>
          <w:sz w:val="20"/>
          <w:szCs w:val="20"/>
          <w:lang w:val="en-US"/>
        </w:rPr>
        <w:t>A second vulnerability lies within the security apparatus. The post-February restructuring has concentrated decision-making and personnel appointments within a single presidential vertical. While this may improve operational unity, it also raises risks of groupthink and loyalty-based rather than competence-based appointments</w:t>
      </w:r>
      <w:r w:rsidR="008C2588" w:rsidRPr="00854FF0">
        <w:rPr>
          <w:rFonts w:ascii="Verdana" w:hAnsi="Verdana"/>
          <w:sz w:val="20"/>
          <w:szCs w:val="20"/>
          <w:lang w:val="en-US"/>
        </w:rPr>
        <w:t xml:space="preserve">, as well as </w:t>
      </w:r>
      <w:r w:rsidRPr="00854FF0">
        <w:rPr>
          <w:rFonts w:ascii="Verdana" w:hAnsi="Verdana"/>
          <w:sz w:val="20"/>
          <w:szCs w:val="20"/>
          <w:lang w:val="en-US"/>
        </w:rPr>
        <w:t>potential fractures if mid-level security officers begin to question their long-term prospects under the new order.</w:t>
      </w:r>
    </w:p>
    <w:p w14:paraId="5C8064AD" w14:textId="77777777" w:rsidR="00C54F34" w:rsidRPr="00854FF0" w:rsidRDefault="00843F2D" w:rsidP="00854FF0">
      <w:pPr>
        <w:rPr>
          <w:rFonts w:ascii="Verdana" w:hAnsi="Verdana"/>
          <w:sz w:val="20"/>
          <w:szCs w:val="20"/>
          <w:lang w:val="en-US"/>
        </w:rPr>
      </w:pPr>
      <w:r w:rsidRPr="00854FF0">
        <w:rPr>
          <w:rFonts w:ascii="Verdana" w:hAnsi="Verdana"/>
          <w:sz w:val="20"/>
          <w:szCs w:val="20"/>
          <w:lang w:val="en-US"/>
        </w:rPr>
        <w:t>A third risk relates to elite cohesion. With patronage concentrated in one node, loyalty becomes more brittle and hypersensitive to signals of favoritism or weakness at the top. Open opposition remains unlikely in the near term, but latent uncertainty or quiet realignment toward alternative centers of influence could gradually erode regime cohesion.</w:t>
      </w:r>
    </w:p>
    <w:p w14:paraId="5C8064AE" w14:textId="6C9074D3"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The new model also carries implications for economic management. While the tandem period delivered impressive </w:t>
      </w:r>
      <w:hyperlink r:id="rId12" w:history="1">
        <w:r w:rsidRPr="00854FF0">
          <w:rPr>
            <w:rStyle w:val="Hyperlnk"/>
            <w:rFonts w:ascii="Verdana" w:hAnsi="Verdana"/>
            <w:sz w:val="20"/>
            <w:szCs w:val="20"/>
            <w:lang w:val="en-US"/>
          </w:rPr>
          <w:t>growth</w:t>
        </w:r>
      </w:hyperlink>
      <w:r w:rsidR="00502576" w:rsidRPr="00854FF0">
        <w:rPr>
          <w:rFonts w:ascii="Verdana" w:hAnsi="Verdana"/>
          <w:sz w:val="20"/>
          <w:szCs w:val="20"/>
          <w:lang w:val="en-US"/>
        </w:rPr>
        <w:t>,</w:t>
      </w:r>
      <w:r w:rsidRPr="00854FF0">
        <w:rPr>
          <w:rFonts w:ascii="Verdana" w:hAnsi="Verdana"/>
          <w:sz w:val="20"/>
          <w:szCs w:val="20"/>
          <w:u w:color="1155CC"/>
          <w:lang w:val="en-US"/>
        </w:rPr>
        <w:t xml:space="preserve"> </w:t>
      </w:r>
      <w:r w:rsidRPr="00854FF0">
        <w:rPr>
          <w:rFonts w:ascii="Verdana" w:hAnsi="Verdana"/>
          <w:sz w:val="20"/>
          <w:szCs w:val="20"/>
          <w:u w:color="1155CC"/>
          <w:lang w:val="en-US"/>
        </w:rPr>
        <w:t>averaging around 10.2 percent annually between 2022 and 2025</w:t>
      </w:r>
      <w:r w:rsidR="00502576" w:rsidRPr="00854FF0">
        <w:rPr>
          <w:rFonts w:ascii="Verdana" w:hAnsi="Verdana"/>
          <w:sz w:val="20"/>
          <w:szCs w:val="20"/>
          <w:u w:color="1155CC"/>
          <w:lang w:val="en-US"/>
        </w:rPr>
        <w:t xml:space="preserve">, </w:t>
      </w:r>
      <w:r w:rsidRPr="00854FF0">
        <w:rPr>
          <w:rFonts w:ascii="Verdana" w:hAnsi="Verdana"/>
          <w:sz w:val="20"/>
          <w:szCs w:val="20"/>
          <w:lang w:val="en-US"/>
        </w:rPr>
        <w:t>much of this expansion relied on informal elite bargains, selective redistribution, and state oversight of strategic sectors. The removal of the secondary power center risks disrupting these arrangements, potentially affecting investor confidence and the predictability of the business climate.</w:t>
      </w:r>
    </w:p>
    <w:p w14:paraId="5C8064B0" w14:textId="08284700"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Kyrgyzstan’s shift toward a more centralized and personalized executive model reflects broader patterns across Central Asia. In systems where stability has historically depended on informal balancing mechanisms, the removal of such mechanisms tends to increase reliance on centralized authority </w:t>
      </w:r>
      <w:r w:rsidR="00F14C2C" w:rsidRPr="00854FF0">
        <w:rPr>
          <w:rFonts w:ascii="Verdana" w:hAnsi="Verdana"/>
          <w:sz w:val="20"/>
          <w:szCs w:val="20"/>
          <w:lang w:val="en-US"/>
        </w:rPr>
        <w:t xml:space="preserve">that is </w:t>
      </w:r>
      <w:r w:rsidRPr="00854FF0">
        <w:rPr>
          <w:rFonts w:ascii="Verdana" w:hAnsi="Verdana"/>
          <w:sz w:val="20"/>
          <w:szCs w:val="20"/>
          <w:lang w:val="en-US"/>
        </w:rPr>
        <w:t>rarely replaced by institutionalized checks</w:t>
      </w:r>
      <w:r w:rsidR="00F14C2C" w:rsidRPr="00854FF0">
        <w:rPr>
          <w:rFonts w:ascii="Verdana" w:hAnsi="Verdana"/>
          <w:sz w:val="20"/>
          <w:szCs w:val="20"/>
          <w:lang w:val="en-US"/>
        </w:rPr>
        <w:t xml:space="preserve"> and </w:t>
      </w:r>
      <w:r w:rsidRPr="00854FF0">
        <w:rPr>
          <w:rFonts w:ascii="Verdana" w:hAnsi="Verdana"/>
          <w:sz w:val="20"/>
          <w:szCs w:val="20"/>
          <w:lang w:val="en-US"/>
        </w:rPr>
        <w:t>more often succeeded by further personalization. Kyrgyzstan’s abrupt transition from a dual-center model adds a distinct and cautionary variation to this regional pattern.</w:t>
      </w:r>
    </w:p>
    <w:p w14:paraId="5C8064B1" w14:textId="7AF2F064" w:rsidR="00C54F34" w:rsidRPr="00854FF0" w:rsidRDefault="00843F2D" w:rsidP="00854FF0">
      <w:pPr>
        <w:rPr>
          <w:rFonts w:ascii="Verdana" w:hAnsi="Verdana"/>
          <w:sz w:val="20"/>
          <w:szCs w:val="20"/>
          <w:lang w:val="en-US"/>
        </w:rPr>
      </w:pPr>
      <w:r w:rsidRPr="00854FF0">
        <w:rPr>
          <w:rFonts w:ascii="Verdana" w:hAnsi="Verdana"/>
          <w:sz w:val="20"/>
          <w:szCs w:val="20"/>
          <w:lang w:val="en-US"/>
        </w:rPr>
        <w:t xml:space="preserve">The real test will come when the new model faces its first significant stress </w:t>
      </w:r>
      <w:r w:rsidR="007C60E6" w:rsidRPr="00854FF0">
        <w:rPr>
          <w:rFonts w:ascii="Verdana" w:hAnsi="Verdana"/>
          <w:sz w:val="20"/>
          <w:szCs w:val="20"/>
          <w:lang w:val="en-US"/>
        </w:rPr>
        <w:t xml:space="preserve">in the form of </w:t>
      </w:r>
      <w:r w:rsidRPr="00854FF0">
        <w:rPr>
          <w:rFonts w:ascii="Verdana" w:hAnsi="Verdana"/>
          <w:sz w:val="20"/>
          <w:szCs w:val="20"/>
          <w:lang w:val="en-US"/>
        </w:rPr>
        <w:t>an economic slowdown, renewed regional tensions, or questions of political succession</w:t>
      </w:r>
      <w:r w:rsidR="007C60E6" w:rsidRPr="00854FF0">
        <w:rPr>
          <w:rFonts w:ascii="Verdana" w:hAnsi="Verdana"/>
          <w:sz w:val="20"/>
          <w:szCs w:val="20"/>
          <w:lang w:val="en-US"/>
        </w:rPr>
        <w:t xml:space="preserve">, </w:t>
      </w:r>
      <w:r w:rsidRPr="00854FF0">
        <w:rPr>
          <w:rFonts w:ascii="Verdana" w:hAnsi="Verdana"/>
          <w:sz w:val="20"/>
          <w:szCs w:val="20"/>
          <w:lang w:val="en-US"/>
        </w:rPr>
        <w:lastRenderedPageBreak/>
        <w:t xml:space="preserve">without the informal safety valve the tandem once provided. Concerns about potential instability disrupting joint infrastructure projects, including the </w:t>
      </w:r>
      <w:r w:rsidRPr="00854FF0">
        <w:rPr>
          <w:rFonts w:ascii="Verdana" w:hAnsi="Verdana"/>
          <w:sz w:val="20"/>
          <w:szCs w:val="20"/>
          <w:lang w:val="en-US"/>
        </w:rPr>
        <w:t>China–Kyrgyzstan–Uzbekistan</w:t>
      </w:r>
      <w:r w:rsidRPr="00854FF0">
        <w:rPr>
          <w:rFonts w:ascii="Verdana" w:hAnsi="Verdana"/>
          <w:sz w:val="20"/>
          <w:szCs w:val="20"/>
          <w:u w:val="single" w:color="1155CC"/>
          <w:lang w:val="en-US"/>
        </w:rPr>
        <w:t xml:space="preserve"> </w:t>
      </w:r>
      <w:hyperlink r:id="rId13" w:history="1">
        <w:r w:rsidRPr="00854FF0">
          <w:rPr>
            <w:rStyle w:val="Hyperlnk"/>
            <w:rFonts w:ascii="Verdana" w:hAnsi="Verdana"/>
            <w:sz w:val="20"/>
            <w:szCs w:val="20"/>
            <w:lang w:val="en-US"/>
          </w:rPr>
          <w:t>railway</w:t>
        </w:r>
      </w:hyperlink>
      <w:r w:rsidRPr="00854FF0">
        <w:rPr>
          <w:rFonts w:ascii="Verdana" w:hAnsi="Verdana"/>
          <w:sz w:val="20"/>
          <w:szCs w:val="20"/>
          <w:lang w:val="en-US"/>
        </w:rPr>
        <w:t>, have circulated among regional capitals. For major external powers</w:t>
      </w:r>
      <w:r w:rsidR="00747E7A" w:rsidRPr="00854FF0">
        <w:rPr>
          <w:rFonts w:ascii="Verdana" w:hAnsi="Verdana"/>
          <w:sz w:val="20"/>
          <w:szCs w:val="20"/>
          <w:lang w:val="en-US"/>
        </w:rPr>
        <w:t xml:space="preserve">, including </w:t>
      </w:r>
      <w:r w:rsidRPr="00854FF0">
        <w:rPr>
          <w:rFonts w:ascii="Verdana" w:hAnsi="Verdana"/>
          <w:sz w:val="20"/>
          <w:szCs w:val="20"/>
          <w:lang w:val="en-US"/>
        </w:rPr>
        <w:t>Russia, China, and Western actors</w:t>
      </w:r>
      <w:r w:rsidR="00747E7A" w:rsidRPr="00854FF0">
        <w:rPr>
          <w:rFonts w:ascii="Verdana" w:hAnsi="Verdana"/>
          <w:sz w:val="20"/>
          <w:szCs w:val="20"/>
          <w:lang w:val="en-US"/>
        </w:rPr>
        <w:t xml:space="preserve">, </w:t>
      </w:r>
      <w:r w:rsidRPr="00854FF0">
        <w:rPr>
          <w:rFonts w:ascii="Verdana" w:hAnsi="Verdana"/>
          <w:sz w:val="20"/>
          <w:szCs w:val="20"/>
          <w:lang w:val="en-US"/>
        </w:rPr>
        <w:t>the Kyrgyz case serves as a reminder that predictability in Central Asia often rests more on personal leadership coherence than on robust institutions.</w:t>
      </w:r>
    </w:p>
    <w:p w14:paraId="5C8064B2" w14:textId="60AF0899" w:rsidR="00C54F34" w:rsidRPr="00854FF0" w:rsidRDefault="00D130C9" w:rsidP="00854FF0">
      <w:pPr>
        <w:rPr>
          <w:rFonts w:ascii="Verdana" w:hAnsi="Verdana"/>
          <w:sz w:val="20"/>
          <w:szCs w:val="20"/>
          <w:lang w:val="en-US"/>
        </w:rPr>
      </w:pPr>
      <w:r w:rsidRPr="00854FF0">
        <w:rPr>
          <w:rFonts w:ascii="Verdana" w:hAnsi="Verdana"/>
          <w:b/>
          <w:bCs/>
          <w:sz w:val="20"/>
          <w:szCs w:val="20"/>
          <w:lang w:val="en-US"/>
        </w:rPr>
        <w:t>CONCLUSIONS</w:t>
      </w:r>
      <w:r>
        <w:rPr>
          <w:rFonts w:ascii="Verdana" w:hAnsi="Verdana"/>
          <w:b/>
          <w:bCs/>
          <w:sz w:val="20"/>
          <w:szCs w:val="20"/>
          <w:lang w:val="en-US"/>
        </w:rPr>
        <w:t xml:space="preserve">: </w:t>
      </w:r>
      <w:r w:rsidR="00843F2D" w:rsidRPr="00854FF0">
        <w:rPr>
          <w:rFonts w:ascii="Verdana" w:hAnsi="Verdana"/>
          <w:sz w:val="20"/>
          <w:szCs w:val="20"/>
          <w:lang w:val="en-US"/>
        </w:rPr>
        <w:t>Ultimately, the dismantling of the Japarov-</w:t>
      </w:r>
      <w:proofErr w:type="spellStart"/>
      <w:r w:rsidR="00843F2D" w:rsidRPr="00854FF0">
        <w:rPr>
          <w:rFonts w:ascii="Verdana" w:hAnsi="Verdana"/>
          <w:sz w:val="20"/>
          <w:szCs w:val="20"/>
          <w:lang w:val="en-US"/>
        </w:rPr>
        <w:t>Tashiev</w:t>
      </w:r>
      <w:proofErr w:type="spellEnd"/>
      <w:r w:rsidR="00843F2D" w:rsidRPr="00854FF0">
        <w:rPr>
          <w:rFonts w:ascii="Verdana" w:hAnsi="Verdana"/>
          <w:sz w:val="20"/>
          <w:szCs w:val="20"/>
          <w:lang w:val="en-US"/>
        </w:rPr>
        <w:t xml:space="preserve"> tandem marks not only the end of a specific five-year political arrangement, but Kyrgyzstan’s transition to a more singular and vertically integrated model of governance. The central question going forward is not whether this model will consolidate authority — it already has — but whether it can sustain long-term stability without the informal balancing mechanisms that previously underpinned it. In the volatile political ecology of Central Asia, such experi</w:t>
      </w:r>
      <w:r w:rsidR="00843F2D" w:rsidRPr="00854FF0">
        <w:rPr>
          <w:rFonts w:ascii="Verdana" w:hAnsi="Verdana"/>
          <w:sz w:val="20"/>
          <w:szCs w:val="20"/>
          <w:lang w:val="en-US"/>
        </w:rPr>
        <w:t>ments in personalization carry both the promise of stronger executive control and the latent risk of heightened fragility.</w:t>
      </w:r>
    </w:p>
    <w:p w14:paraId="5C8064B4" w14:textId="32CD1093" w:rsidR="00C54F34" w:rsidRPr="00854FF0" w:rsidRDefault="00843F2D" w:rsidP="00854FF0">
      <w:pPr>
        <w:rPr>
          <w:rFonts w:ascii="Verdana" w:hAnsi="Verdana"/>
          <w:sz w:val="20"/>
          <w:szCs w:val="20"/>
          <w:lang w:val="en-US"/>
        </w:rPr>
      </w:pPr>
      <w:r w:rsidRPr="00854FF0">
        <w:rPr>
          <w:rFonts w:ascii="Verdana" w:hAnsi="Verdana"/>
          <w:b/>
          <w:bCs/>
          <w:sz w:val="20"/>
          <w:szCs w:val="20"/>
          <w:lang w:val="en-US"/>
        </w:rPr>
        <w:t>AUTHORS’ BIO</w:t>
      </w:r>
      <w:r w:rsidRPr="00854FF0">
        <w:rPr>
          <w:rFonts w:ascii="Verdana" w:hAnsi="Verdana"/>
          <w:b/>
          <w:bCs/>
          <w:sz w:val="20"/>
          <w:szCs w:val="20"/>
          <w:lang w:val="en-US"/>
        </w:rPr>
        <w:t xml:space="preserve">: </w:t>
      </w:r>
      <w:r w:rsidRPr="00587F2E">
        <w:rPr>
          <w:rFonts w:ascii="Verdana" w:hAnsi="Verdana"/>
          <w:sz w:val="20"/>
          <w:szCs w:val="20"/>
          <w:lang w:val="en-US"/>
        </w:rPr>
        <w:t>Aigerim Turgunbaeva</w:t>
      </w:r>
      <w:r w:rsidRPr="00854FF0">
        <w:rPr>
          <w:rFonts w:ascii="Verdana" w:hAnsi="Verdana"/>
          <w:sz w:val="20"/>
          <w:szCs w:val="20"/>
          <w:lang w:val="en-US"/>
        </w:rPr>
        <w:t xml:space="preserve">, </w:t>
      </w:r>
      <w:r w:rsidR="00587F2E">
        <w:rPr>
          <w:rFonts w:ascii="Verdana" w:hAnsi="Verdana"/>
          <w:sz w:val="20"/>
          <w:szCs w:val="20"/>
          <w:lang w:val="en-US"/>
        </w:rPr>
        <w:t xml:space="preserve">is a </w:t>
      </w:r>
      <w:r w:rsidRPr="00854FF0">
        <w:rPr>
          <w:rFonts w:ascii="Verdana" w:hAnsi="Verdana"/>
          <w:sz w:val="20"/>
          <w:szCs w:val="20"/>
          <w:lang w:val="en-US"/>
        </w:rPr>
        <w:t xml:space="preserve">journalist and researcher focusing on Central Asia. Aigerim writes about press freedom, human rights, and politics in the former Soviet space, and delves into China’s interests in the region for publications including Reuters, The New York Times, The Diplomat, The Guardian, and </w:t>
      </w:r>
      <w:proofErr w:type="spellStart"/>
      <w:r w:rsidRPr="00854FF0">
        <w:rPr>
          <w:rFonts w:ascii="Verdana" w:hAnsi="Verdana"/>
          <w:sz w:val="20"/>
          <w:szCs w:val="20"/>
          <w:lang w:val="en-US"/>
        </w:rPr>
        <w:t>Eurasianet</w:t>
      </w:r>
      <w:proofErr w:type="spellEnd"/>
      <w:r w:rsidRPr="00854FF0">
        <w:rPr>
          <w:rFonts w:ascii="Verdana" w:hAnsi="Verdana"/>
          <w:sz w:val="20"/>
          <w:szCs w:val="20"/>
          <w:lang w:val="en-US"/>
        </w:rPr>
        <w:t>.</w:t>
      </w:r>
    </w:p>
    <w:sectPr w:rsidR="00C54F34" w:rsidRPr="00854FF0">
      <w:pgSz w:w="12240" w:h="15840"/>
      <w:pgMar w:top="1134" w:right="144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42EE"/>
    <w:multiLevelType w:val="hybridMultilevel"/>
    <w:tmpl w:val="EC9491A6"/>
    <w:lvl w:ilvl="0" w:tplc="F8381E26">
      <w:start w:val="1"/>
      <w:numFmt w:val="bullet"/>
      <w:lvlText w:val="●"/>
      <w:lvlJc w:val="left"/>
      <w:pPr>
        <w:ind w:left="720" w:hanging="360"/>
      </w:pPr>
    </w:lvl>
    <w:lvl w:ilvl="1" w:tplc="17AECB3C">
      <w:start w:val="1"/>
      <w:numFmt w:val="bullet"/>
      <w:lvlText w:val="○"/>
      <w:lvlJc w:val="left"/>
      <w:pPr>
        <w:ind w:left="1440" w:hanging="360"/>
      </w:pPr>
    </w:lvl>
    <w:lvl w:ilvl="2" w:tplc="4C28E946">
      <w:start w:val="1"/>
      <w:numFmt w:val="bullet"/>
      <w:lvlText w:val="■"/>
      <w:lvlJc w:val="left"/>
      <w:pPr>
        <w:ind w:left="2160" w:hanging="360"/>
      </w:pPr>
    </w:lvl>
    <w:lvl w:ilvl="3" w:tplc="BD2E0B80">
      <w:start w:val="1"/>
      <w:numFmt w:val="bullet"/>
      <w:lvlText w:val="●"/>
      <w:lvlJc w:val="left"/>
      <w:pPr>
        <w:ind w:left="2880" w:hanging="360"/>
      </w:pPr>
    </w:lvl>
    <w:lvl w:ilvl="4" w:tplc="8A2C3DBC">
      <w:start w:val="1"/>
      <w:numFmt w:val="bullet"/>
      <w:lvlText w:val="○"/>
      <w:lvlJc w:val="left"/>
      <w:pPr>
        <w:ind w:left="3600" w:hanging="360"/>
      </w:pPr>
    </w:lvl>
    <w:lvl w:ilvl="5" w:tplc="9EBE75CC">
      <w:start w:val="1"/>
      <w:numFmt w:val="bullet"/>
      <w:lvlText w:val="■"/>
      <w:lvlJc w:val="left"/>
      <w:pPr>
        <w:ind w:left="4320" w:hanging="360"/>
      </w:pPr>
    </w:lvl>
    <w:lvl w:ilvl="6" w:tplc="A9000D8E">
      <w:start w:val="1"/>
      <w:numFmt w:val="bullet"/>
      <w:lvlText w:val="●"/>
      <w:lvlJc w:val="left"/>
      <w:pPr>
        <w:ind w:left="5040" w:hanging="360"/>
      </w:pPr>
    </w:lvl>
    <w:lvl w:ilvl="7" w:tplc="6F0A4354">
      <w:start w:val="1"/>
      <w:numFmt w:val="bullet"/>
      <w:lvlText w:val="●"/>
      <w:lvlJc w:val="left"/>
      <w:pPr>
        <w:ind w:left="5760" w:hanging="360"/>
      </w:pPr>
    </w:lvl>
    <w:lvl w:ilvl="8" w:tplc="4F001CA8">
      <w:start w:val="1"/>
      <w:numFmt w:val="bullet"/>
      <w:lvlText w:val="●"/>
      <w:lvlJc w:val="left"/>
      <w:pPr>
        <w:ind w:left="6480" w:hanging="360"/>
      </w:pPr>
    </w:lvl>
  </w:abstractNum>
  <w:num w:numId="1" w16cid:durableId="1571772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34"/>
    <w:rsid w:val="0006332E"/>
    <w:rsid w:val="001D0BCA"/>
    <w:rsid w:val="002C7161"/>
    <w:rsid w:val="003A63F0"/>
    <w:rsid w:val="003E3CC7"/>
    <w:rsid w:val="0040395B"/>
    <w:rsid w:val="00424CFE"/>
    <w:rsid w:val="0044410D"/>
    <w:rsid w:val="004C46C6"/>
    <w:rsid w:val="00502576"/>
    <w:rsid w:val="0054268E"/>
    <w:rsid w:val="00587F2E"/>
    <w:rsid w:val="005A5B7E"/>
    <w:rsid w:val="005C2964"/>
    <w:rsid w:val="005E2593"/>
    <w:rsid w:val="005F6940"/>
    <w:rsid w:val="0065632D"/>
    <w:rsid w:val="00747E7A"/>
    <w:rsid w:val="007C60E6"/>
    <w:rsid w:val="00854FF0"/>
    <w:rsid w:val="008B71CA"/>
    <w:rsid w:val="008C2588"/>
    <w:rsid w:val="008F3D20"/>
    <w:rsid w:val="00962307"/>
    <w:rsid w:val="009B415F"/>
    <w:rsid w:val="009B6D09"/>
    <w:rsid w:val="00A74668"/>
    <w:rsid w:val="00AD3AA9"/>
    <w:rsid w:val="00B8529E"/>
    <w:rsid w:val="00B86574"/>
    <w:rsid w:val="00C54F34"/>
    <w:rsid w:val="00C73B8E"/>
    <w:rsid w:val="00D130C9"/>
    <w:rsid w:val="00F14C2C"/>
    <w:rsid w:val="00F94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6497"/>
  <w15:docId w15:val="{E4016D1F-B7F1-48E0-9CD6-48295D7F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character" w:styleId="Olstomnmnande">
    <w:name w:val="Unresolved Mention"/>
    <w:basedOn w:val="Standardstycketeckensnitt"/>
    <w:uiPriority w:val="99"/>
    <w:semiHidden/>
    <w:unhideWhenUsed/>
    <w:rsid w:val="005C2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urancenter.org/analysis/breaking-the-tandem-the-consolidation-of-presidential-power-in-kyrgyzstan" TargetMode="External"/><Relationship Id="rId13" Type="http://schemas.openxmlformats.org/officeDocument/2006/relationships/hyperlink" Target="https://thediplomat.com/2026/03/the-politics-of-the-china-kyrgyzstan-uzbekistan-railway/" TargetMode="External"/><Relationship Id="rId3" Type="http://schemas.openxmlformats.org/officeDocument/2006/relationships/settings" Target="settings.xml"/><Relationship Id="rId7" Type="http://schemas.openxmlformats.org/officeDocument/2006/relationships/hyperlink" Target="https://www.reuters.com/world/asia-pacific/corruption-probe-against-former-kyrgyz-security-chief-widens-with-arrest-his-2026-04-01/" TargetMode="External"/><Relationship Id="rId12" Type="http://schemas.openxmlformats.org/officeDocument/2006/relationships/hyperlink" Target="https://24.kg/english/358451__Kyrgyzstans_GDP_reaches_nearly_2_trillion_soms_at_year-end_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uters.com/world/asia-pacific/kyrgyzstan-moves-purge-allies-ousted-security-chief-2026-02-12/" TargetMode="External"/><Relationship Id="rId11" Type="http://schemas.openxmlformats.org/officeDocument/2006/relationships/hyperlink" Target="https://www.osw.waw.pl/en/publikacje/analyses/2026-02-13/tashievs-dismissal-a-political-earthquake-kyrgyzstan" TargetMode="External"/><Relationship Id="rId5" Type="http://schemas.openxmlformats.org/officeDocument/2006/relationships/hyperlink" Target="https://www.reuters.com/world/asia-pacific/kyrgyzstan-president-fires-powerful-security-chief-longtime-ally-2026-02-10/" TargetMode="External"/><Relationship Id="rId15" Type="http://schemas.openxmlformats.org/officeDocument/2006/relationships/theme" Target="theme/theme1.xml"/><Relationship Id="rId10" Type="http://schemas.openxmlformats.org/officeDocument/2006/relationships/hyperlink" Target="https://en.kabar.kg/news/75-citizens-suspected-of-organizing-mass-riots-detained-in-kyrgyzstan/" TargetMode="External"/><Relationship Id="rId4" Type="http://schemas.openxmlformats.org/officeDocument/2006/relationships/webSettings" Target="webSettings.xml"/><Relationship Id="rId9" Type="http://schemas.openxmlformats.org/officeDocument/2006/relationships/hyperlink" Target="https://astanatimes.com/2026/01/kyrgyz-republics-gdp-nears-23-billion-as-economy-grows-over-11-in-2025/"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1772</Words>
  <Characters>9393</Characters>
  <Application>Microsoft Office Word</Application>
  <DocSecurity>0</DocSecurity>
  <Lines>78</Lines>
  <Paragraphs>22</Paragraphs>
  <ScaleCrop>false</ScaleCrop>
  <Company>FHS</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Nilsson Niklas</cp:lastModifiedBy>
  <cp:revision>2</cp:revision>
  <dcterms:created xsi:type="dcterms:W3CDTF">2026-05-04T15:15:00Z</dcterms:created>
  <dcterms:modified xsi:type="dcterms:W3CDTF">2026-05-04T15:15:00Z</dcterms:modified>
</cp:coreProperties>
</file>