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8376E" w:rsidRDefault="007C37B1">
      <w:pPr>
        <w:pStyle w:val="Heading2"/>
        <w:keepNext w:val="0"/>
        <w:keepLines w:val="0"/>
        <w:spacing w:after="80"/>
        <w:rPr>
          <w:rFonts w:ascii="Times New Roman" w:eastAsia="Times New Roman" w:hAnsi="Times New Roman" w:cs="Times New Roman"/>
          <w:b/>
          <w:bCs/>
          <w:sz w:val="24"/>
          <w:szCs w:val="24"/>
        </w:rPr>
      </w:pPr>
      <w:bookmarkStart w:id="0" w:name="_heading=h.efnq1rpmngv4" w:colFirst="0" w:colLast="0"/>
      <w:bookmarkEnd w:id="0"/>
      <w:r>
        <w:rPr>
          <w:rFonts w:ascii="Times New Roman" w:eastAsia="Times New Roman" w:hAnsi="Times New Roman" w:cs="Times New Roman"/>
          <w:b/>
          <w:bCs/>
          <w:sz w:val="24"/>
          <w:szCs w:val="24"/>
        </w:rPr>
        <w:t>Armenia’s Geopolitical Pivot: Strategic Ambiguity and the Search for New Security Anchors</w:t>
      </w:r>
    </w:p>
    <w:p w14:paraId="00000002" w14:textId="77777777" w:rsidR="0088376E" w:rsidRDefault="007C37B1">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By Ebru Akgün</w:t>
      </w:r>
    </w:p>
    <w:p w14:paraId="00000004" w14:textId="0C92A11C"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Armenia is currently navigating its most significant geopolitical shift since its independence in 1991. The collapse of the traditional security architecture, which was built on the pillar of the Russian-led Collective Security Treaty Organization (CSTO), has forced Yerevan to embark on a perilous journey of "sovereign recalibration." By embracing Western civilian security instruments—most notably the European Union Monitoring Mission in Armenia (EUMA)—while simultaneously hosting legacy Russian military in</w:t>
      </w:r>
      <w:r>
        <w:rPr>
          <w:rFonts w:ascii="Times New Roman" w:eastAsia="Times New Roman" w:hAnsi="Times New Roman" w:cs="Times New Roman"/>
          <w:sz w:val="24"/>
          <w:szCs w:val="24"/>
        </w:rPr>
        <w:t>frastructure, Prime Minister Nikol Pashinyan’s administration has adopted a high-stakes "dual-track" strategy. However, this hedging mechanism is reaching its structural exhaustion. As regional geopolitics shift toward binary alignments and the South Caucasus becomes a primary theater for broader EU-Russia competition, Armenia's tactical flexibility is increasingly challenged by the reality of asymmetric pressures.</w:t>
      </w:r>
    </w:p>
    <w:p w14:paraId="00000007" w14:textId="076BEB94" w:rsidR="0088376E" w:rsidRDefault="00D40851">
      <w:pPr>
        <w:spacing w:before="240"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BACKGROUND: </w:t>
      </w:r>
      <w:r w:rsidR="007C37B1">
        <w:rPr>
          <w:rFonts w:ascii="Times New Roman" w:eastAsia="Times New Roman" w:hAnsi="Times New Roman" w:cs="Times New Roman"/>
          <w:sz w:val="24"/>
          <w:szCs w:val="24"/>
        </w:rPr>
        <w:t>​The central challenge for Armenia’s transition is the "security guarantee deficit." While Yerevan has successfully frozen its participation in the CSTO, citing the alliance’s failure to respond to incursions into Armenian sovereign territory in 2021 and 2022, it has not yet secured a formal military alternative. The Western response, though diplomatically robust, remains focused on "soft power" and monitoring rather than "hard power" defense obligations.</w:t>
      </w:r>
    </w:p>
    <w:p w14:paraId="00000008"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hyperlink r:id="rId5">
        <w:r>
          <w:rPr>
            <w:rFonts w:ascii="Times New Roman" w:eastAsia="Times New Roman" w:hAnsi="Times New Roman" w:cs="Times New Roman"/>
            <w:color w:val="1155CC"/>
            <w:sz w:val="24"/>
            <w:szCs w:val="24"/>
            <w:u w:val="single"/>
          </w:rPr>
          <w:t xml:space="preserve"> EUMA's mandate has been extended until 2028,</w:t>
        </w:r>
      </w:hyperlink>
      <w:r>
        <w:rPr>
          <w:rFonts w:ascii="Times New Roman" w:eastAsia="Times New Roman" w:hAnsi="Times New Roman" w:cs="Times New Roman"/>
          <w:sz w:val="24"/>
          <w:szCs w:val="24"/>
        </w:rPr>
        <w:t xml:space="preserve"> providing a layer of "visibility-based deterrence." However, from a military perspective, a civilian mission cannot function as a permanent shield. Unlike the formal mutual defense obligations found in Article 4 of the CSTO treaty—which Armenia now views as a "failed promise"—the EU mission carries no legal mandate to intervene in the event of an armed conflict. The presence of European monitors on the border with Azerbaijan may increase the political cost of escalation, but it does not provide the physica</w:t>
      </w:r>
      <w:r>
        <w:rPr>
          <w:rFonts w:ascii="Times New Roman" w:eastAsia="Times New Roman" w:hAnsi="Times New Roman" w:cs="Times New Roman"/>
          <w:sz w:val="24"/>
          <w:szCs w:val="24"/>
        </w:rPr>
        <w:t>l protection necessary to stop an offensive.</w:t>
      </w:r>
    </w:p>
    <w:p w14:paraId="00000009" w14:textId="77777777" w:rsidR="0088376E" w:rsidRDefault="007C37B1">
      <w:pPr>
        <w:spacing w:before="240" w:after="240"/>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​For Western policymakers, Armenia serves as a critical case study of the limits of small-state hedging under asymmetric pressure. The lack of a "hard" security partner leaves Yerevan in a state of strategic ambiguity. While France and the United States have increased their security assistance, these relationships are characterized by</w:t>
      </w:r>
      <w:hyperlink r:id="rId6">
        <w:r>
          <w:rPr>
            <w:rFonts w:ascii="Times New Roman" w:eastAsia="Times New Roman" w:hAnsi="Times New Roman" w:cs="Times New Roman"/>
            <w:sz w:val="24"/>
            <w:szCs w:val="24"/>
          </w:rPr>
          <w:t xml:space="preserve"> </w:t>
        </w:r>
      </w:hyperlink>
      <w:hyperlink r:id="rId7">
        <w:r>
          <w:rPr>
            <w:rFonts w:ascii="Times New Roman" w:eastAsia="Times New Roman" w:hAnsi="Times New Roman" w:cs="Times New Roman"/>
            <w:color w:val="1155CC"/>
            <w:sz w:val="24"/>
            <w:szCs w:val="24"/>
            <w:u w:val="single"/>
          </w:rPr>
          <w:t>bilateral cooperation agreements</w:t>
        </w:r>
      </w:hyperlink>
      <w:r>
        <w:rPr>
          <w:rFonts w:ascii="Times New Roman" w:eastAsia="Times New Roman" w:hAnsi="Times New Roman" w:cs="Times New Roman"/>
          <w:sz w:val="24"/>
          <w:szCs w:val="24"/>
        </w:rPr>
        <w:t xml:space="preserve"> rather than mutual defense pacts. This gap between monitoring and defense creates a period of strategic vulnerability that regional actors could exploit, especially if the diplomatic cost of military escalation is perceived as manageable by Baku or Moscow.</w:t>
      </w:r>
    </w:p>
    <w:p w14:paraId="0000000A"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 critical but often under-analyzed component of Armenia’s new security architecture is its integration into Western-backed transit networks, specifically the Trump Route for International Peace and Prosperity (TRIPP</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corridor. Launched as a flagship initiative to decouple the South Caucasus from Russian and Iranian monopolies, the</w:t>
      </w:r>
      <w:hyperlink r:id="rId8">
        <w:r>
          <w:rPr>
            <w:rFonts w:ascii="Times New Roman" w:eastAsia="Times New Roman" w:hAnsi="Times New Roman" w:cs="Times New Roman"/>
            <w:sz w:val="24"/>
            <w:szCs w:val="24"/>
          </w:rPr>
          <w:t xml:space="preserve"> </w:t>
        </w:r>
      </w:hyperlink>
      <w:hyperlink r:id="rId9">
        <w:r>
          <w:rPr>
            <w:rFonts w:ascii="Times New Roman" w:eastAsia="Times New Roman" w:hAnsi="Times New Roman" w:cs="Times New Roman"/>
            <w:color w:val="1155CC"/>
            <w:sz w:val="24"/>
            <w:szCs w:val="24"/>
            <w:u w:val="single"/>
          </w:rPr>
          <w:t xml:space="preserve">TRIPP </w:t>
        </w:r>
        <w:r>
          <w:rPr>
            <w:rFonts w:ascii="Times New Roman" w:eastAsia="Times New Roman" w:hAnsi="Times New Roman" w:cs="Times New Roman"/>
            <w:color w:val="1155CC"/>
            <w:sz w:val="24"/>
            <w:szCs w:val="24"/>
            <w:u w:val="single"/>
          </w:rPr>
          <w:lastRenderedPageBreak/>
          <w:t>implementation framework</w:t>
        </w:r>
      </w:hyperlink>
      <w:r>
        <w:rPr>
          <w:rFonts w:ascii="Times New Roman" w:eastAsia="Times New Roman" w:hAnsi="Times New Roman" w:cs="Times New Roman"/>
          <w:sz w:val="24"/>
          <w:szCs w:val="24"/>
        </w:rPr>
        <w:t xml:space="preserve"> signed in early 2026 aims to integrate Armenia into a Western-secured transit network.</w:t>
      </w:r>
    </w:p>
    <w:p w14:paraId="0000000B"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TRIPP initiative seeks to link Azerbaijan with its Nakhchivan exclave through Armenian territory (specifically the Syunik province) under Armenian sovereign and customs control. By promoting this "Crossroads of Peace" vision, the United States is attempting to create a vested economic interest in Armenia’s territorial integrity. If major Western corporations and U.S.-backed contractors become primary stakeholders in Armenia’s infrastructure, the logic follows that Washington will have a more explicit i</w:t>
      </w:r>
      <w:r>
        <w:rPr>
          <w:rFonts w:ascii="Times New Roman" w:eastAsia="Times New Roman" w:hAnsi="Times New Roman" w:cs="Times New Roman"/>
          <w:sz w:val="24"/>
          <w:szCs w:val="24"/>
        </w:rPr>
        <w:t>ncentive to ensure the region's stability.</w:t>
      </w:r>
    </w:p>
    <w:p w14:paraId="0000000C"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the TRIPP corridor brings its own set of risks. While it offers an economic lifeline and a potential implicit security shield, it places Armenia at the heart of a "corridor war" between the West, Russia, and Iran. Tehran remains deeply wary of any increased Western presence in Syunik, which it views as its "red line" for northern connectivity. Meanwhile, Moscow views any corridor not controlled by its own FSB border guards as a violation of the November 2020 ceasefire arrangements. Therefore, the </w:t>
      </w:r>
      <w:r>
        <w:rPr>
          <w:rFonts w:ascii="Times New Roman" w:eastAsia="Times New Roman" w:hAnsi="Times New Roman" w:cs="Times New Roman"/>
          <w:sz w:val="24"/>
          <w:szCs w:val="24"/>
        </w:rPr>
        <w:t>TRIPP corridor is as much a security challenge as it is an opportunity, requiring Armenia to balance American ambitions against the immediate geographical realities of its neighbors.</w:t>
      </w:r>
    </w:p>
    <w:p w14:paraId="0000000D"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​Armenia’s military modernization efforts represent another pillar of its diversification strategy. Recent contracts for</w:t>
      </w:r>
      <w:hyperlink r:id="rId10">
        <w:r>
          <w:rPr>
            <w:rFonts w:ascii="Times New Roman" w:eastAsia="Times New Roman" w:hAnsi="Times New Roman" w:cs="Times New Roman"/>
            <w:sz w:val="24"/>
            <w:szCs w:val="24"/>
          </w:rPr>
          <w:t xml:space="preserve"> </w:t>
        </w:r>
      </w:hyperlink>
      <w:hyperlink r:id="rId11">
        <w:r>
          <w:rPr>
            <w:rFonts w:ascii="Times New Roman" w:eastAsia="Times New Roman" w:hAnsi="Times New Roman" w:cs="Times New Roman"/>
            <w:color w:val="1155CC"/>
            <w:sz w:val="24"/>
            <w:szCs w:val="24"/>
            <w:u w:val="single"/>
          </w:rPr>
          <w:t>French GM200 radar systems and Mistral anti-air missiles</w:t>
        </w:r>
      </w:hyperlink>
      <w:r>
        <w:rPr>
          <w:rFonts w:ascii="Times New Roman" w:eastAsia="Times New Roman" w:hAnsi="Times New Roman" w:cs="Times New Roman"/>
          <w:sz w:val="24"/>
          <w:szCs w:val="24"/>
        </w:rPr>
        <w:t>, alongside the procurement of</w:t>
      </w:r>
      <w:hyperlink r:id="rId12">
        <w:r>
          <w:rPr>
            <w:rFonts w:ascii="Times New Roman" w:eastAsia="Times New Roman" w:hAnsi="Times New Roman" w:cs="Times New Roman"/>
            <w:sz w:val="24"/>
            <w:szCs w:val="24"/>
          </w:rPr>
          <w:t xml:space="preserve"> </w:t>
        </w:r>
      </w:hyperlink>
      <w:hyperlink r:id="rId13">
        <w:r>
          <w:rPr>
            <w:rFonts w:ascii="Times New Roman" w:eastAsia="Times New Roman" w:hAnsi="Times New Roman" w:cs="Times New Roman"/>
            <w:color w:val="1155CC"/>
            <w:sz w:val="24"/>
            <w:szCs w:val="24"/>
            <w:u w:val="single"/>
          </w:rPr>
          <w:t>Indian Akash-1S missile systems and Pinaka rockets</w:t>
        </w:r>
      </w:hyperlink>
      <w:r>
        <w:rPr>
          <w:rFonts w:ascii="Times New Roman" w:eastAsia="Times New Roman" w:hAnsi="Times New Roman" w:cs="Times New Roman"/>
          <w:sz w:val="24"/>
          <w:szCs w:val="24"/>
        </w:rPr>
        <w:t>, mark a decisive break from the decades-long monopoly of the Russian defense industry.</w:t>
      </w:r>
    </w:p>
    <w:p w14:paraId="0000000E"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"buying Western" does not automatically translate into "Western security." Armenia faces an immense technical challenge known as the "interoperability trap." The nation’s current command-and-control (C2) architecture is built on Soviet-legacy systems that are historically transparent to Russian military intelligence. Integrating NATO-standard French radars or high-tech Indian artillery into this legacy environment is not just a logistical hurdle; it is a profound security risk.</w:t>
      </w:r>
    </w:p>
    <w:p w14:paraId="0000000F" w14:textId="77777777" w:rsidR="0088376E" w:rsidRDefault="007C37B1">
      <w:pPr>
        <w:spacing w:before="240" w:after="240"/>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​Without an entirely independent and secure C2 network—a project that would require billions of dollars and years of specialized training—Armenia’s new hardware remains vulnerable to electronic jamming or data interception by legacy Russian systems. Furthermore, the logistical chain for these Western systems is fragile. Unlike Russian equipment, which is supported by established rail links, Western hardware must be transported through</w:t>
      </w:r>
      <w:hyperlink r:id="rId14">
        <w:r>
          <w:rPr>
            <w:rFonts w:ascii="Times New Roman" w:eastAsia="Times New Roman" w:hAnsi="Times New Roman" w:cs="Times New Roman"/>
            <w:sz w:val="24"/>
            <w:szCs w:val="24"/>
          </w:rPr>
          <w:t xml:space="preserve"> </w:t>
        </w:r>
      </w:hyperlink>
      <w:hyperlink r:id="rId15">
        <w:r>
          <w:rPr>
            <w:rFonts w:ascii="Times New Roman" w:eastAsia="Times New Roman" w:hAnsi="Times New Roman" w:cs="Times New Roman"/>
            <w:color w:val="1155CC"/>
            <w:sz w:val="24"/>
            <w:szCs w:val="24"/>
            <w:u w:val="single"/>
          </w:rPr>
          <w:t>Georgia’s ports</w:t>
        </w:r>
      </w:hyperlink>
      <w:r>
        <w:rPr>
          <w:rFonts w:ascii="Times New Roman" w:eastAsia="Times New Roman" w:hAnsi="Times New Roman" w:cs="Times New Roman"/>
          <w:sz w:val="24"/>
          <w:szCs w:val="24"/>
        </w:rPr>
        <w:t xml:space="preserve"> or via complex Iranian routes, making the supply chain vulnerable to external political pressures. This technical sovereignty is the missing link in Armenia's military transition.</w:t>
      </w:r>
    </w:p>
    <w:p w14:paraId="00000010"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strategic direction of Armenia will face its ultimate domestic test in the upcoming</w:t>
      </w:r>
      <w:hyperlink r:id="rId16">
        <w:r>
          <w:rPr>
            <w:rFonts w:ascii="Times New Roman" w:eastAsia="Times New Roman" w:hAnsi="Times New Roman" w:cs="Times New Roman"/>
            <w:sz w:val="24"/>
            <w:szCs w:val="24"/>
          </w:rPr>
          <w:t xml:space="preserve"> </w:t>
        </w:r>
      </w:hyperlink>
      <w:hyperlink r:id="rId17">
        <w:r>
          <w:rPr>
            <w:rFonts w:ascii="Times New Roman" w:eastAsia="Times New Roman" w:hAnsi="Times New Roman" w:cs="Times New Roman"/>
            <w:color w:val="1155CC"/>
            <w:sz w:val="24"/>
            <w:szCs w:val="24"/>
            <w:u w:val="single"/>
          </w:rPr>
          <w:t>June 7, 2026 parliamentary elections</w:t>
        </w:r>
      </w:hyperlink>
      <w:r>
        <w:rPr>
          <w:rFonts w:ascii="Times New Roman" w:eastAsia="Times New Roman" w:hAnsi="Times New Roman" w:cs="Times New Roman"/>
          <w:sz w:val="24"/>
          <w:szCs w:val="24"/>
        </w:rPr>
        <w:t>. These polls will function as a definitive referendum on the "Western pivot" and the "Fourth Republic" vision proposed by the Pashinyan administration. Public opinion in Armenia is currently characterized by "ambiguity fatigue." While</w:t>
      </w:r>
      <w:hyperlink r:id="rId18">
        <w:r>
          <w:rPr>
            <w:rFonts w:ascii="Times New Roman" w:eastAsia="Times New Roman" w:hAnsi="Times New Roman" w:cs="Times New Roman"/>
            <w:sz w:val="24"/>
            <w:szCs w:val="24"/>
          </w:rPr>
          <w:t xml:space="preserve"> </w:t>
        </w:r>
      </w:hyperlink>
      <w:hyperlink r:id="rId19">
        <w:r>
          <w:rPr>
            <w:rFonts w:ascii="Times New Roman" w:eastAsia="Times New Roman" w:hAnsi="Times New Roman" w:cs="Times New Roman"/>
            <w:color w:val="1155CC"/>
            <w:sz w:val="24"/>
            <w:szCs w:val="24"/>
            <w:u w:val="single"/>
          </w:rPr>
          <w:t>trust in Western institutions has surged</w:t>
        </w:r>
      </w:hyperlink>
      <w:r>
        <w:rPr>
          <w:rFonts w:ascii="Times New Roman" w:eastAsia="Times New Roman" w:hAnsi="Times New Roman" w:cs="Times New Roman"/>
          <w:sz w:val="24"/>
          <w:szCs w:val="24"/>
        </w:rPr>
        <w:t xml:space="preserve">, a significant portion of the population remains skeptical that </w:t>
      </w:r>
      <w:r>
        <w:rPr>
          <w:rFonts w:ascii="Times New Roman" w:eastAsia="Times New Roman" w:hAnsi="Times New Roman" w:cs="Times New Roman"/>
          <w:sz w:val="24"/>
          <w:szCs w:val="24"/>
        </w:rPr>
        <w:lastRenderedPageBreak/>
        <w:t>monitoring missions and "economic corridors" like TRIPP can replace the hard security guarantees once expected from Russia.</w:t>
      </w:r>
    </w:p>
    <w:p w14:paraId="00000011"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2026 elections will be fought on two fronts: economic prosperity and national survival. If the government cannot demonstrate that its pivot has brought tangible security improvements or significant economic relief through projects like TRIPP before the elections, the opposition—likely backed by Russian narratives of "restoring traditional ties for safety"—may gain significant traction. The outcome of the 2026 polls will determine whether Armenia continues its pursuit of sovereignty through Western inte</w:t>
      </w:r>
      <w:r>
        <w:rPr>
          <w:rFonts w:ascii="Times New Roman" w:eastAsia="Times New Roman" w:hAnsi="Times New Roman" w:cs="Times New Roman"/>
          <w:sz w:val="24"/>
          <w:szCs w:val="24"/>
        </w:rPr>
        <w:t>gration or is forced into a strategic reversal. The memory of the 2020 and 2023 conflicts looms large, and the electorate's patience for "strategic patience" is wearing thin.</w:t>
      </w:r>
    </w:p>
    <w:p w14:paraId="00000012" w14:textId="1709A1E0" w:rsidR="0088376E" w:rsidRDefault="00D40851">
      <w:pPr>
        <w:spacing w:before="240" w:after="240"/>
        <w:rPr>
          <w:rFonts w:ascii="Times New Roman" w:eastAsia="Times New Roman" w:hAnsi="Times New Roman" w:cs="Times New Roman"/>
          <w:sz w:val="24"/>
          <w:szCs w:val="24"/>
        </w:rPr>
      </w:pPr>
      <w:r w:rsidRPr="00D40851">
        <w:rPr>
          <w:rFonts w:ascii="Times New Roman" w:eastAsia="Times New Roman" w:hAnsi="Times New Roman" w:cs="Times New Roman"/>
          <w:b/>
          <w:bCs/>
          <w:sz w:val="24"/>
          <w:szCs w:val="24"/>
        </w:rPr>
        <w:t xml:space="preserve">IMPLICATIONS: </w:t>
      </w:r>
      <w:r w:rsidR="007C37B1">
        <w:rPr>
          <w:rFonts w:ascii="Times New Roman" w:eastAsia="Times New Roman" w:hAnsi="Times New Roman" w:cs="Times New Roman"/>
          <w:sz w:val="24"/>
          <w:szCs w:val="24"/>
        </w:rPr>
        <w:t>​Despite the rhetoric of "de-coupling," the physical and economic reality of Russian influence in Armenia remains a formidable obstacle. Russia still owns a majority of Armenia’s natural gas infrastructure through</w:t>
      </w:r>
      <w:hyperlink r:id="rId20">
        <w:r w:rsidR="007C37B1">
          <w:rPr>
            <w:rFonts w:ascii="Times New Roman" w:eastAsia="Times New Roman" w:hAnsi="Times New Roman" w:cs="Times New Roman"/>
            <w:sz w:val="24"/>
            <w:szCs w:val="24"/>
          </w:rPr>
          <w:t xml:space="preserve"> </w:t>
        </w:r>
      </w:hyperlink>
      <w:hyperlink r:id="rId21">
        <w:r w:rsidR="007C37B1">
          <w:rPr>
            <w:rFonts w:ascii="Times New Roman" w:eastAsia="Times New Roman" w:hAnsi="Times New Roman" w:cs="Times New Roman"/>
            <w:color w:val="1155CC"/>
            <w:sz w:val="24"/>
            <w:szCs w:val="24"/>
            <w:u w:val="single"/>
          </w:rPr>
          <w:t>Gazprom Armenia</w:t>
        </w:r>
      </w:hyperlink>
      <w:r w:rsidR="007C37B1">
        <w:rPr>
          <w:rFonts w:ascii="Times New Roman" w:eastAsia="Times New Roman" w:hAnsi="Times New Roman" w:cs="Times New Roman"/>
          <w:sz w:val="24"/>
          <w:szCs w:val="24"/>
        </w:rPr>
        <w:t xml:space="preserve"> and plays a critical role in the operation of the Metsamor nuclear power plant. To counter this, the</w:t>
      </w:r>
      <w:hyperlink r:id="rId22">
        <w:r w:rsidR="007C37B1">
          <w:rPr>
            <w:rFonts w:ascii="Times New Roman" w:eastAsia="Times New Roman" w:hAnsi="Times New Roman" w:cs="Times New Roman"/>
            <w:sz w:val="24"/>
            <w:szCs w:val="24"/>
          </w:rPr>
          <w:t xml:space="preserve"> </w:t>
        </w:r>
      </w:hyperlink>
      <w:hyperlink r:id="rId23">
        <w:r w:rsidR="007C37B1">
          <w:rPr>
            <w:rFonts w:ascii="Times New Roman" w:eastAsia="Times New Roman" w:hAnsi="Times New Roman" w:cs="Times New Roman"/>
            <w:color w:val="1155CC"/>
            <w:sz w:val="24"/>
            <w:szCs w:val="24"/>
            <w:u w:val="single"/>
          </w:rPr>
          <w:t>European Union has pledged $500 million</w:t>
        </w:r>
      </w:hyperlink>
      <w:r w:rsidR="007C37B1">
        <w:rPr>
          <w:rFonts w:ascii="Times New Roman" w:eastAsia="Times New Roman" w:hAnsi="Times New Roman" w:cs="Times New Roman"/>
          <w:sz w:val="24"/>
          <w:szCs w:val="24"/>
        </w:rPr>
        <w:t xml:space="preserve"> to enhance Armenia’s energy security and diversification, but the transition will take years.</w:t>
      </w:r>
    </w:p>
    <w:p w14:paraId="00000013"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​This economic asymmetry gives Moscow a "soft-kill" capability. The Kremlin does not need to launch a military intervention to destabilize Armenia; it can achieve similar results through "technical" border closures at the</w:t>
      </w:r>
      <w:hyperlink r:id="rId24">
        <w:r>
          <w:rPr>
            <w:rFonts w:ascii="Times New Roman" w:eastAsia="Times New Roman" w:hAnsi="Times New Roman" w:cs="Times New Roman"/>
            <w:sz w:val="24"/>
            <w:szCs w:val="24"/>
          </w:rPr>
          <w:t xml:space="preserve"> </w:t>
        </w:r>
      </w:hyperlink>
      <w:hyperlink r:id="rId25">
        <w:r>
          <w:rPr>
            <w:rFonts w:ascii="Times New Roman" w:eastAsia="Times New Roman" w:hAnsi="Times New Roman" w:cs="Times New Roman"/>
            <w:color w:val="1155CC"/>
            <w:sz w:val="24"/>
            <w:szCs w:val="24"/>
            <w:u w:val="single"/>
          </w:rPr>
          <w:t>Lars crossing</w:t>
        </w:r>
      </w:hyperlink>
      <w:r>
        <w:rPr>
          <w:rFonts w:ascii="Times New Roman" w:eastAsia="Times New Roman" w:hAnsi="Times New Roman" w:cs="Times New Roman"/>
          <w:sz w:val="24"/>
          <w:szCs w:val="24"/>
        </w:rPr>
        <w:t>, energy price hikes, or logistical sabotage. The</w:t>
      </w:r>
      <w:hyperlink r:id="rId26">
        <w:r>
          <w:rPr>
            <w:rFonts w:ascii="Times New Roman" w:eastAsia="Times New Roman" w:hAnsi="Times New Roman" w:cs="Times New Roman"/>
            <w:sz w:val="24"/>
            <w:szCs w:val="24"/>
          </w:rPr>
          <w:t xml:space="preserve"> </w:t>
        </w:r>
      </w:hyperlink>
      <w:hyperlink r:id="rId27">
        <w:r>
          <w:rPr>
            <w:rFonts w:ascii="Times New Roman" w:eastAsia="Times New Roman" w:hAnsi="Times New Roman" w:cs="Times New Roman"/>
            <w:color w:val="1155CC"/>
            <w:sz w:val="24"/>
            <w:szCs w:val="24"/>
            <w:u w:val="single"/>
          </w:rPr>
          <w:t>withdrawal of Russian FSB border guards from Zvartnots Airport</w:t>
        </w:r>
      </w:hyperlink>
      <w:r>
        <w:rPr>
          <w:rFonts w:ascii="Times New Roman" w:eastAsia="Times New Roman" w:hAnsi="Times New Roman" w:cs="Times New Roman"/>
          <w:sz w:val="24"/>
          <w:szCs w:val="24"/>
        </w:rPr>
        <w:t xml:space="preserve"> was a symbolic victory, but Russian units still maintain a presence along the borders with Turkey and Iran. Any move that Moscow perceives as an "over-pivot" could trigger a devastating economic retaliation that the Armenian state is currently ill-equipped to handle.</w:t>
      </w:r>
    </w:p>
    <w:p w14:paraId="00000014"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complex chess game, the role of Iran cannot be ignored. Tehran views the Syunik province as its essential gateway to the north. Any implementation of corridors—whether TRIPP or the Russian-backed Zangezur version—that changes the border status or introduces NATO-linked security actors is considered a "red line" by Iran. Armenia must navigate its pivot toward the West without alienating its southern neighbor, which remains its only other physical gateway to the world. This necessitates a delicate ba</w:t>
      </w:r>
      <w:r>
        <w:rPr>
          <w:rFonts w:ascii="Times New Roman" w:eastAsia="Times New Roman" w:hAnsi="Times New Roman" w:cs="Times New Roman"/>
          <w:sz w:val="24"/>
          <w:szCs w:val="24"/>
        </w:rPr>
        <w:t>lance: engaging with the U.S. on TRIPP while reassuring Tehran that Armenia’s sovereign control over the route remains absolute and non-negotiable.</w:t>
      </w:r>
    </w:p>
    <w:p w14:paraId="00000017" w14:textId="08509B71" w:rsidR="0088376E" w:rsidRDefault="00D40851" w:rsidP="00D40851">
      <w:pPr>
        <w:pStyle w:val="Heading3"/>
        <w:keepNext w:val="0"/>
        <w:keepLines w:val="0"/>
        <w:spacing w:before="280"/>
        <w:rPr>
          <w:rFonts w:ascii="Times New Roman" w:eastAsia="Times New Roman" w:hAnsi="Times New Roman" w:cs="Times New Roman"/>
          <w:sz w:val="24"/>
          <w:szCs w:val="24"/>
        </w:rPr>
      </w:pPr>
      <w:bookmarkStart w:id="1" w:name="_heading=h.skz12k5d5opu" w:colFirst="0" w:colLast="0"/>
      <w:bookmarkEnd w:id="1"/>
      <w:r>
        <w:rPr>
          <w:rFonts w:ascii="Times New Roman" w:eastAsia="Times New Roman" w:hAnsi="Times New Roman" w:cs="Times New Roman"/>
          <w:b/>
          <w:bCs/>
          <w:color w:val="000000"/>
          <w:sz w:val="24"/>
          <w:szCs w:val="24"/>
        </w:rPr>
        <w:t xml:space="preserve">CONCLUSIONS: </w:t>
      </w:r>
      <w:r w:rsidR="007C37B1">
        <w:rPr>
          <w:rFonts w:ascii="Times New Roman" w:eastAsia="Times New Roman" w:hAnsi="Times New Roman" w:cs="Times New Roman"/>
          <w:sz w:val="24"/>
          <w:szCs w:val="24"/>
        </w:rPr>
        <w:t>​Armenia is currently in a race against time. The dual-track strategy has provided essential short-term breathing room, allowing the state to begin the slow process of military modernization and diplomatic diversification. However, as the 2026 elections approach and the regional environment becomes more binary, the luxury of ambiguity is disappearing.</w:t>
      </w:r>
    </w:p>
    <w:p w14:paraId="00000018" w14:textId="77777777" w:rsidR="0088376E" w:rsidRDefault="007C37B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For Armenia to survive as a sovereign actor, it must bridge the gap between "monitoring" and "defense." This requires moving beyond symbolic gestures toward a robust institutional framework that accounts for the state’s structural vulnerabilities. The TRIPP corridor and </w:t>
      </w:r>
      <w:r>
        <w:rPr>
          <w:rFonts w:ascii="Times New Roman" w:eastAsia="Times New Roman" w:hAnsi="Times New Roman" w:cs="Times New Roman"/>
          <w:sz w:val="24"/>
          <w:szCs w:val="24"/>
        </w:rPr>
        <w:lastRenderedPageBreak/>
        <w:t>Western arms contracts are steps in the right direction, but they are not panaceas. Ultimately, Armenia’s ability to sustain its independence will depend on whether its Western partners are willing to provide actionable security pathways tha</w:t>
      </w:r>
      <w:r>
        <w:rPr>
          <w:rFonts w:ascii="Times New Roman" w:eastAsia="Times New Roman" w:hAnsi="Times New Roman" w:cs="Times New Roman"/>
          <w:sz w:val="24"/>
          <w:szCs w:val="24"/>
        </w:rPr>
        <w:t>t go beyond binoculars and political statements. In a region where hard power still dictates the terms of sovereignty, Armenia’s "dual-track" must eventually find a single, solid, and defensible destination.</w:t>
      </w:r>
    </w:p>
    <w:p w14:paraId="0000001B" w14:textId="69DADE64" w:rsidR="0088376E" w:rsidRDefault="007C37B1" w:rsidP="00D40851">
      <w:pPr>
        <w:pStyle w:val="Heading3"/>
        <w:keepNext w:val="0"/>
        <w:keepLines w:val="0"/>
        <w:spacing w:before="280"/>
        <w:rPr>
          <w:rFonts w:ascii="Times New Roman" w:eastAsia="Times New Roman" w:hAnsi="Times New Roman" w:cs="Times New Roman"/>
          <w:sz w:val="24"/>
          <w:szCs w:val="24"/>
        </w:rPr>
      </w:pPr>
      <w:bookmarkStart w:id="2" w:name="_heading=h.pq1yto7ngb9z" w:colFirst="0" w:colLast="0"/>
      <w:bookmarkEnd w:id="2"/>
      <w:r>
        <w:rPr>
          <w:rFonts w:ascii="Times New Roman" w:eastAsia="Times New Roman" w:hAnsi="Times New Roman" w:cs="Times New Roman"/>
          <w:b/>
          <w:bCs/>
          <w:color w:val="000000"/>
          <w:sz w:val="24"/>
          <w:szCs w:val="24"/>
        </w:rPr>
        <w:t>​</w:t>
      </w:r>
      <w:r w:rsidR="00D40851">
        <w:rPr>
          <w:rFonts w:ascii="Times New Roman" w:eastAsia="Times New Roman" w:hAnsi="Times New Roman" w:cs="Times New Roman"/>
          <w:b/>
          <w:bCs/>
          <w:color w:val="000000"/>
          <w:sz w:val="24"/>
          <w:szCs w:val="24"/>
        </w:rPr>
        <w:t xml:space="preserve">AUTHOR’S BIO: </w:t>
      </w:r>
      <w:r w:rsidRPr="00D40851">
        <w:rPr>
          <w:rFonts w:ascii="Times New Roman" w:eastAsia="Times New Roman" w:hAnsi="Times New Roman" w:cs="Times New Roman"/>
          <w:b/>
          <w:bCs/>
          <w:sz w:val="24"/>
          <w:szCs w:val="24"/>
        </w:rPr>
        <w:t>​</w:t>
      </w:r>
      <w:r w:rsidRPr="00D40851">
        <w:rPr>
          <w:rFonts w:ascii="Times New Roman" w:eastAsia="Times New Roman" w:hAnsi="Times New Roman" w:cs="Times New Roman"/>
          <w:sz w:val="24"/>
          <w:szCs w:val="24"/>
        </w:rPr>
        <w:t>Ebru Akgün</w:t>
      </w:r>
      <w:r>
        <w:rPr>
          <w:rFonts w:ascii="Times New Roman" w:eastAsia="Times New Roman" w:hAnsi="Times New Roman" w:cs="Times New Roman"/>
          <w:sz w:val="24"/>
          <w:szCs w:val="24"/>
        </w:rPr>
        <w:t xml:space="preserve"> is an independent researcher specializing in the South Caucasus, regional security architecture, and transportation corridors. Her work focuses on the intersection of infrastructure development, military modernization, and geopolitical risk analysis in Eurasia. She actively monitors the evolving dynamics between Armenia, its neighbors, and global power </w:t>
      </w:r>
      <w:r>
        <w:rPr>
          <w:rFonts w:ascii="Times New Roman" w:eastAsia="Times New Roman" w:hAnsi="Times New Roman" w:cs="Times New Roman"/>
          <w:sz w:val="24"/>
          <w:szCs w:val="24"/>
        </w:rPr>
        <w:t xml:space="preserve">enters. You can follow her latest research and professional updates via </w:t>
      </w:r>
      <w:hyperlink r:id="rId28">
        <w:r>
          <w:rPr>
            <w:rFonts w:ascii="Times New Roman" w:eastAsia="Times New Roman" w:hAnsi="Times New Roman" w:cs="Times New Roman"/>
            <w:color w:val="1155CC"/>
            <w:sz w:val="24"/>
            <w:szCs w:val="24"/>
            <w:u w:val="single"/>
          </w:rPr>
          <w:t>http://linkedin.com/in/ebruakgun</w:t>
        </w:r>
      </w:hyperlink>
    </w:p>
    <w:p w14:paraId="0000001C" w14:textId="77777777" w:rsidR="0088376E" w:rsidRDefault="0088376E">
      <w:pPr>
        <w:spacing w:before="240" w:after="240"/>
        <w:rPr>
          <w:rFonts w:ascii="Times New Roman" w:eastAsia="Times New Roman" w:hAnsi="Times New Roman" w:cs="Times New Roman"/>
          <w:sz w:val="24"/>
          <w:szCs w:val="24"/>
        </w:rPr>
      </w:pPr>
    </w:p>
    <w:sectPr w:rsidR="0088376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B8100AB-9F21-49F2-97CE-8274A5BFF9DE}"/>
  </w:font>
  <w:font w:name="Cambria">
    <w:panose1 w:val="02040503050406030204"/>
    <w:charset w:val="00"/>
    <w:family w:val="roman"/>
    <w:pitch w:val="variable"/>
    <w:sig w:usb0="E00006FF" w:usb1="420024FF" w:usb2="02000000" w:usb3="00000000" w:csb0="0000019F" w:csb1="00000000"/>
    <w:embedRegular r:id="rId2" w:fontKey="{9E2F26AD-7CF2-456E-B0AC-686CE9289EC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76E"/>
    <w:rsid w:val="007C37B1"/>
    <w:rsid w:val="0088376E"/>
    <w:rsid w:val="00D40851"/>
    <w:rsid w:val="00F72B2D"/>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5C24"/>
  <w15:docId w15:val="{7AF5394A-9B1E-4905-92F3-6F3C6C8B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en-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ate.gov/releases/office-of-the-spokesperson/2026/01/joint-statement-on-the-publication-of-the-u-s-armenia-implementation-framework-for-the-trump-route-for-international-peace-and-prosperity-tripp" TargetMode="External"/><Relationship Id="rId13" Type="http://schemas.openxmlformats.org/officeDocument/2006/relationships/hyperlink" Target="https://www.mil.am/en" TargetMode="External"/><Relationship Id="rId18" Type="http://schemas.openxmlformats.org/officeDocument/2006/relationships/hyperlink" Target="https://www.caucasusbarometer.org/en/cb2024am/" TargetMode="External"/><Relationship Id="rId26" Type="http://schemas.openxmlformats.org/officeDocument/2006/relationships/hyperlink" Target="https://factor.am/en/" TargetMode="External"/><Relationship Id="rId3" Type="http://schemas.openxmlformats.org/officeDocument/2006/relationships/settings" Target="settings.xml"/><Relationship Id="rId21" Type="http://schemas.openxmlformats.org/officeDocument/2006/relationships/hyperlink" Target="https://www.kommersant.ru/" TargetMode="External"/><Relationship Id="rId7" Type="http://schemas.openxmlformats.org/officeDocument/2006/relationships/hyperlink" Target="https://www.mil.am/en" TargetMode="External"/><Relationship Id="rId12" Type="http://schemas.openxmlformats.org/officeDocument/2006/relationships/hyperlink" Target="https://www.mil.am/en" TargetMode="External"/><Relationship Id="rId17" Type="http://schemas.openxmlformats.org/officeDocument/2006/relationships/hyperlink" Target="https://en.wikipedia.org/wiki/2026_Armenian_parliamentary_election" TargetMode="External"/><Relationship Id="rId25" Type="http://schemas.openxmlformats.org/officeDocument/2006/relationships/hyperlink" Target="https://www.kommersant.ru/" TargetMode="External"/><Relationship Id="rId2" Type="http://schemas.openxmlformats.org/officeDocument/2006/relationships/styles" Target="styles.xml"/><Relationship Id="rId16" Type="http://schemas.openxmlformats.org/officeDocument/2006/relationships/hyperlink" Target="https://en.wikipedia.org/wiki/2026_Armenian_parliamentary_election" TargetMode="External"/><Relationship Id="rId20" Type="http://schemas.openxmlformats.org/officeDocument/2006/relationships/hyperlink" Target="https://www.kommersan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mil.am/en" TargetMode="External"/><Relationship Id="rId11" Type="http://schemas.openxmlformats.org/officeDocument/2006/relationships/hyperlink" Target="https://www.mil.am/en" TargetMode="External"/><Relationship Id="rId24" Type="http://schemas.openxmlformats.org/officeDocument/2006/relationships/hyperlink" Target="https://www.kommersant.ru/" TargetMode="External"/><Relationship Id="rId5" Type="http://schemas.openxmlformats.org/officeDocument/2006/relationships/hyperlink" Target="https://www.eeas.europa.eu/euma/" TargetMode="External"/><Relationship Id="rId15" Type="http://schemas.openxmlformats.org/officeDocument/2006/relationships/hyperlink" Target="https://www.kommersant.ru/" TargetMode="External"/><Relationship Id="rId23" Type="http://schemas.openxmlformats.org/officeDocument/2006/relationships/hyperlink" Target="https://arka.am/en/news/politics/eu-will-invest-500-million-in-enhancing-armenia-s-energy-security-and-diversification/" TargetMode="External"/><Relationship Id="rId28" Type="http://schemas.openxmlformats.org/officeDocument/2006/relationships/hyperlink" Target="http://linkedin.com/in/ebruakgun" TargetMode="External"/><Relationship Id="rId10" Type="http://schemas.openxmlformats.org/officeDocument/2006/relationships/hyperlink" Target="https://www.mil.am/en" TargetMode="External"/><Relationship Id="rId19" Type="http://schemas.openxmlformats.org/officeDocument/2006/relationships/hyperlink" Target="https://www.caucasusbarometer.org/en/cb2024am/" TargetMode="External"/><Relationship Id="rId4" Type="http://schemas.openxmlformats.org/officeDocument/2006/relationships/webSettings" Target="webSettings.xml"/><Relationship Id="rId9" Type="http://schemas.openxmlformats.org/officeDocument/2006/relationships/hyperlink" Target="https://www.state.gov/releases/office-of-the-spokesperson/2026/01/joint-statement-on-the-publication-of-the-u-s-armenia-implementation-framework-for-the-trump-route-for-international-peace-and-prosperity-tripp" TargetMode="External"/><Relationship Id="rId14" Type="http://schemas.openxmlformats.org/officeDocument/2006/relationships/hyperlink" Target="https://www.kommersant.ru/" TargetMode="External"/><Relationship Id="rId22" Type="http://schemas.openxmlformats.org/officeDocument/2006/relationships/hyperlink" Target="https://arka.am/en/news/politics/eu-will-invest-500-million-in-enhancing-armenia-s-energy-security-and-diversification/" TargetMode="External"/><Relationship Id="rId27" Type="http://schemas.openxmlformats.org/officeDocument/2006/relationships/hyperlink" Target="https://factor.am/en/"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EbVUvdvR7mIBmHx0S+1sX7J08Q==">CgMxLjAyDmguZWZucTFycG1uZ3Y0Mg5oLnNrejEyazVkNW9wdTIOaC5wcTF5dG83bmdiOXo4AHIhMXdjTXdDWU5JMVhZQzhJUXFseVhUcHFfMVpLNnNuc3hp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1828</Words>
  <Characters>10422</Characters>
  <Application>Microsoft Office Word</Application>
  <DocSecurity>4</DocSecurity>
  <Lines>86</Lines>
  <Paragraphs>24</Paragraphs>
  <ScaleCrop>false</ScaleCrop>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Svante Cornell</dc:creator>
  <cp:lastModifiedBy>Svante Cornell</cp:lastModifiedBy>
  <cp:revision>2</cp:revision>
  <dcterms:created xsi:type="dcterms:W3CDTF">2026-03-02T10:12:00Z</dcterms:created>
  <dcterms:modified xsi:type="dcterms:W3CDTF">2026-03-02T10:12:00Z</dcterms:modified>
</cp:coreProperties>
</file>